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C2B7D8C" w14:textId="77777777" w:rsidR="003347EF" w:rsidRDefault="003347EF">
      <w:pPr>
        <w:spacing w:after="200"/>
      </w:pPr>
    </w:p>
    <w:p w14:paraId="7B7C1442" w14:textId="77777777" w:rsidR="003347EF" w:rsidRDefault="001075BF">
      <w:r>
        <w:rPr>
          <w:b/>
          <w:bCs/>
        </w:rPr>
        <w:t>Aan:</w:t>
      </w:r>
    </w:p>
    <w:p w14:paraId="62223537" w14:textId="77777777" w:rsidR="003347EF" w:rsidRDefault="001075BF">
      <w:r>
        <w:t>Bureau Energieprojecten</w:t>
      </w:r>
    </w:p>
    <w:p w14:paraId="556067F4" w14:textId="052740AE" w:rsidR="003347EF" w:rsidRDefault="001075BF">
      <w:r>
        <w:t>Ministerie van</w:t>
      </w:r>
      <w:r w:rsidR="00561D00">
        <w:t xml:space="preserve"> Economische Zaken en </w:t>
      </w:r>
      <w:r>
        <w:t>Klimaat</w:t>
      </w:r>
    </w:p>
    <w:p w14:paraId="6DC050BC" w14:textId="44E44CA1" w:rsidR="003347EF" w:rsidRDefault="001075BF" w:rsidP="00F974D5">
      <w:r>
        <w:t>Postbus 111</w:t>
      </w:r>
      <w:r w:rsidR="000246C2">
        <w:t xml:space="preserve">, </w:t>
      </w:r>
      <w:r>
        <w:t>9200 AC  Drachten</w:t>
      </w:r>
    </w:p>
    <w:p w14:paraId="58DA617A" w14:textId="77777777" w:rsidR="004D057E" w:rsidRDefault="004D057E" w:rsidP="00F974D5"/>
    <w:p w14:paraId="05E6208E" w14:textId="2832A5C3" w:rsidR="003347EF" w:rsidRDefault="001075BF">
      <w:r>
        <w:t>Datum:</w:t>
      </w:r>
      <w:r w:rsidR="00F974D5">
        <w:t xml:space="preserve"> 1 juli</w:t>
      </w:r>
      <w:r>
        <w:t xml:space="preserve"> 2026</w:t>
      </w:r>
    </w:p>
    <w:p w14:paraId="687B9C69" w14:textId="77777777" w:rsidR="003347EF" w:rsidRDefault="003347EF"/>
    <w:p w14:paraId="692C4427" w14:textId="77777777" w:rsidR="003347EF" w:rsidRDefault="001075BF">
      <w:r>
        <w:rPr>
          <w:b/>
          <w:bCs/>
        </w:rPr>
        <w:t>Betreft: Zienswijze Dorpsraad Biervliet op het Ontwerpprogramma VAWOZ — Regio Zeeland</w:t>
      </w:r>
    </w:p>
    <w:p w14:paraId="623F8E77" w14:textId="77777777" w:rsidR="003347EF" w:rsidRDefault="003347EF">
      <w:pPr>
        <w:spacing w:after="160"/>
      </w:pPr>
    </w:p>
    <w:p w14:paraId="3B496690" w14:textId="77777777" w:rsidR="003347EF" w:rsidRDefault="001075BF">
      <w:r>
        <w:t>Geacht College,</w:t>
      </w:r>
    </w:p>
    <w:p w14:paraId="09F07B68" w14:textId="76DC5643" w:rsidR="003347EF" w:rsidRDefault="003347EF"/>
    <w:p w14:paraId="69BAF721" w14:textId="74EB819A" w:rsidR="003347EF" w:rsidRDefault="001075BF" w:rsidP="00C1572E">
      <w:pPr>
        <w:jc w:val="both"/>
      </w:pPr>
      <w:r>
        <w:t>De Dorpsraad Biervliet maakt gebruik van haar recht om een zienswijze in te dienen op het Ontwerpprogramma VAWOZ (Verbindingen Aanlanden Windenergie op Zee) — Regio Zeeland, ingevolge artikel 3.4 van de Algemene wet bestuursrecht jo. artikel 3.12 Wet milieubeheer (coördinatieregeling plan-</w:t>
      </w:r>
      <w:r w:rsidR="0006602B">
        <w:t>MER</w:t>
      </w:r>
      <w:r>
        <w:t>).</w:t>
      </w:r>
    </w:p>
    <w:p w14:paraId="44A7AF97" w14:textId="77777777" w:rsidR="003347EF" w:rsidRDefault="003347EF" w:rsidP="00C1572E">
      <w:pPr>
        <w:jc w:val="both"/>
      </w:pPr>
    </w:p>
    <w:p w14:paraId="7DB4F1D8" w14:textId="54B9F206" w:rsidR="003347EF" w:rsidRDefault="001075BF" w:rsidP="00C1572E">
      <w:pPr>
        <w:jc w:val="both"/>
      </w:pPr>
      <w:r>
        <w:t>Wij onderschrijven de nationale noodzaak tot elektrificatie en waarderen windenergie op zee als een waardevolle aanvulling op de energiemix. De keuze voor een aanlandpunt te Nieuwvliet laten wij dan ook buiten beschouwing. Onze zienswijze richt zich uitsluitend op de voorgenomen locatiekeuze voor converterstation</w:t>
      </w:r>
      <w:r w:rsidR="00636A6A">
        <w:t>s</w:t>
      </w:r>
      <w:r>
        <w:t xml:space="preserve"> </w:t>
      </w:r>
      <w:r w:rsidR="00F816CD">
        <w:t xml:space="preserve">op </w:t>
      </w:r>
      <w:r>
        <w:t>de Mosselbanken</w:t>
      </w:r>
      <w:r w:rsidR="000A430E">
        <w:t xml:space="preserve"> of </w:t>
      </w:r>
      <w:r w:rsidR="00F816CD">
        <w:t xml:space="preserve">in de </w:t>
      </w:r>
      <w:r w:rsidR="000A430E" w:rsidRPr="000A430E">
        <w:t>Paulinapolder</w:t>
      </w:r>
      <w:r>
        <w:t xml:space="preserve">. Wij stellen dat deze keuze onvoldoende onderbouwd is, procedureel </w:t>
      </w:r>
      <w:r w:rsidR="0068072A">
        <w:t>te kort schiet</w:t>
      </w:r>
      <w:r>
        <w:t>, en in strijd is met meerdere dwingende juridische en beleidsmatige kaders.</w:t>
      </w:r>
    </w:p>
    <w:p w14:paraId="3E4D8ADC" w14:textId="77777777" w:rsidR="00FC6A81" w:rsidRDefault="00FC6A81" w:rsidP="00C1572E">
      <w:pPr>
        <w:jc w:val="both"/>
      </w:pPr>
    </w:p>
    <w:p w14:paraId="55656CA0" w14:textId="13EB05DA" w:rsidR="00FC6A81" w:rsidRDefault="002E1E18" w:rsidP="00FC6A81">
      <w:pPr>
        <w:jc w:val="both"/>
      </w:pPr>
      <w:r>
        <w:t>Tijdens</w:t>
      </w:r>
      <w:r w:rsidR="00FC6A81">
        <w:t xml:space="preserve"> het opstellen van deze zienswijze zijn de </w:t>
      </w:r>
      <w:commentRangeStart w:id="0"/>
      <w:r w:rsidR="00FC6A81">
        <w:t xml:space="preserve">Integrale Effectenanalyse Nieuwbouw Kerncentrales, de plan-MER en diverse TenneT-notities </w:t>
      </w:r>
      <w:commentRangeEnd w:id="0"/>
      <w:r w:rsidR="000902CB">
        <w:rPr>
          <w:rStyle w:val="Verwijzingopmerking"/>
          <w:sz w:val="24"/>
          <w:szCs w:val="24"/>
        </w:rPr>
        <w:commentReference w:id="0"/>
      </w:r>
      <w:r w:rsidR="00FC6A81">
        <w:t>gepubliceerd. Deze recente onderzoeken bevestigen het belang van een integrale beoordeling van de ruimtelijke, ecologische en maatschappelijke gevolgen van grootschalige energie-infrastructuur en vormen daarmee een aanvullende onderbouwing van de in deze zienswijze aangevoerde bezwaren.</w:t>
      </w:r>
    </w:p>
    <w:p w14:paraId="21AEEC1F" w14:textId="7AE32C29" w:rsidR="003347EF" w:rsidRDefault="001075BF" w:rsidP="00C1572E">
      <w:pPr>
        <w:pStyle w:val="Kop1"/>
        <w:jc w:val="both"/>
      </w:pPr>
      <w:r>
        <w:t>1.  Gebrekkige locatievergelijking — de afwijzingsgronden zijn niet concludent</w:t>
      </w:r>
      <w:r w:rsidR="004A249E">
        <w:t>.</w:t>
      </w:r>
    </w:p>
    <w:p w14:paraId="4EA53674" w14:textId="4C566871" w:rsidR="003347EF" w:rsidRDefault="001075BF" w:rsidP="00C1572E">
      <w:pPr>
        <w:jc w:val="both"/>
      </w:pPr>
      <w:r>
        <w:t>Het Ontwerpprogramma wijst alternatieve locaties</w:t>
      </w:r>
      <w:r w:rsidR="00A344AE">
        <w:t>,</w:t>
      </w:r>
      <w:r>
        <w:t xml:space="preserve"> waaronder het Kopje van Canada en de locatie Paradijs</w:t>
      </w:r>
      <w:r w:rsidR="00A344AE">
        <w:t>,</w:t>
      </w:r>
      <w:r>
        <w:t xml:space="preserve"> af op gronden die bij nadere beschouwing geen standhouden. Wij lichten de vier meest zwaarwegende afwijzingsgronden toe.</w:t>
      </w:r>
    </w:p>
    <w:p w14:paraId="3326EE23" w14:textId="77777777" w:rsidR="003347EF" w:rsidRDefault="003347EF" w:rsidP="00C1572E">
      <w:pPr>
        <w:jc w:val="both"/>
      </w:pPr>
    </w:p>
    <w:p w14:paraId="778A8110" w14:textId="77777777" w:rsidR="003347EF" w:rsidRDefault="001075BF" w:rsidP="00C1572E">
      <w:pPr>
        <w:jc w:val="both"/>
      </w:pPr>
      <w:r>
        <w:rPr>
          <w:b/>
          <w:bCs/>
        </w:rPr>
        <w:t>Kabellengte als afwijzingsgrond</w:t>
      </w:r>
    </w:p>
    <w:p w14:paraId="434CC913" w14:textId="77777777" w:rsidR="00AE1D3D" w:rsidRDefault="001075BF" w:rsidP="00C1572E">
      <w:pPr>
        <w:jc w:val="both"/>
      </w:pPr>
      <w:r>
        <w:t>Het programma gebruikt een beperkt kabellengte</w:t>
      </w:r>
      <w:r w:rsidR="00182207">
        <w:t xml:space="preserve"> </w:t>
      </w:r>
      <w:r>
        <w:t xml:space="preserve">argument om locaties </w:t>
      </w:r>
      <w:r w:rsidR="00D17F51">
        <w:t>verder</w:t>
      </w:r>
      <w:r>
        <w:t xml:space="preserve"> bij de kust af te wijzen. </w:t>
      </w:r>
    </w:p>
    <w:p w14:paraId="45958790" w14:textId="77777777" w:rsidR="00AE1D3D" w:rsidRDefault="00AE1D3D" w:rsidP="00C1572E">
      <w:pPr>
        <w:jc w:val="both"/>
      </w:pPr>
    </w:p>
    <w:p w14:paraId="562C31AE" w14:textId="77777777" w:rsidR="00AE1D3D" w:rsidRDefault="00AE1D3D" w:rsidP="00C1572E">
      <w:pPr>
        <w:jc w:val="both"/>
      </w:pPr>
    </w:p>
    <w:p w14:paraId="44009085" w14:textId="147E77A8" w:rsidR="00B86771" w:rsidRDefault="001075BF" w:rsidP="00C1572E">
      <w:pPr>
        <w:jc w:val="both"/>
      </w:pPr>
      <w:r>
        <w:t>Dit argument is disproportioneel: de maximale aanlandafstand op de Noordzee bedraagt meer dan 200 km — gemeten</w:t>
      </w:r>
      <w:r w:rsidR="00275CAC">
        <w:t xml:space="preserve"> </w:t>
      </w:r>
      <w:r>
        <w:t>van offshore windpark tot het aanlandpunt Nieuwvliet. Het verschil in</w:t>
      </w:r>
      <w:r w:rsidR="006F033E">
        <w:t>,</w:t>
      </w:r>
      <w:r>
        <w:t xml:space="preserve"> kabellengte tussen de Paulinapolder en het Kopje van Canada bedraagt hooguit 3 km, en met de locatie Paradijs is het verschil nog kleiner. Een verschil van minder dan 2% van de totale kabellengte kan nooit een doorslaggevende afwijzingsgrond vormen. Dit verdraagt zich niet met het proportionaliteitsbeginsel zoals neergelegd in artikel 3:4 lid 2 Awb.</w:t>
      </w:r>
    </w:p>
    <w:p w14:paraId="724D64DF" w14:textId="77777777" w:rsidR="004D057E" w:rsidRDefault="004D057E" w:rsidP="00C1572E">
      <w:pPr>
        <w:jc w:val="both"/>
        <w:rPr>
          <w:b/>
          <w:bCs/>
        </w:rPr>
      </w:pPr>
    </w:p>
    <w:p w14:paraId="40A28FE0" w14:textId="77777777" w:rsidR="003347EF" w:rsidRDefault="001075BF" w:rsidP="00C1572E">
      <w:pPr>
        <w:jc w:val="both"/>
      </w:pPr>
      <w:r>
        <w:rPr>
          <w:b/>
          <w:bCs/>
        </w:rPr>
        <w:t>Natuur als afwijzingsgrond voor alternatieven, niet als belemmering voor de Paulinapolder</w:t>
      </w:r>
    </w:p>
    <w:p w14:paraId="37766436" w14:textId="72BD6266" w:rsidR="003347EF" w:rsidRDefault="001075BF" w:rsidP="00C1572E">
      <w:pPr>
        <w:jc w:val="both"/>
      </w:pPr>
      <w:r>
        <w:t xml:space="preserve">Wij stellen vast dat het Ontwerpprogramma de aanwezigheid van natuur elders wél hanteert als afwijzingsgrond voor andere locaties, maar dit criterium niet consequent toepast op de Paulinapolder zelf. De Paulinapolder is gelegen tussen Braakman Noord en het Paulinaschor — welke laatste een Natura 2000-gebied is in de zin van de Wet natuurbescherming (Wnb) en de Habitatrichtlijn (92/43/EEG). Artikel 2.8 Wnb verplicht tot een passende beoordeling wanneer een plan of project significante gevolgen kan hebben voor een Natura 2000-gebied. Het Ontwerpprogramma bevat geen afdoende passende beoordeling voor de Paulinapoldervarianten in relatie tot het </w:t>
      </w:r>
      <w:r w:rsidR="006956F7">
        <w:t xml:space="preserve">aangrenzende </w:t>
      </w:r>
      <w:r>
        <w:t xml:space="preserve">Paulinaschor. Dit is een </w:t>
      </w:r>
      <w:r w:rsidR="006F3630">
        <w:t xml:space="preserve">procedurele tekortkoming </w:t>
      </w:r>
      <w:r>
        <w:t>d</w:t>
      </w:r>
      <w:r w:rsidR="00B97B12">
        <w:t>ie</w:t>
      </w:r>
      <w:r w:rsidR="001F2CA7">
        <w:t xml:space="preserve"> </w:t>
      </w:r>
      <w:r>
        <w:t>herstel vereist vóór vaststelling van het definitieve programma.</w:t>
      </w:r>
      <w:r w:rsidR="002E1F73">
        <w:t xml:space="preserve"> </w:t>
      </w:r>
    </w:p>
    <w:p w14:paraId="552AFA21" w14:textId="77777777" w:rsidR="009737E6" w:rsidRDefault="009737E6" w:rsidP="00C1572E">
      <w:pPr>
        <w:jc w:val="both"/>
      </w:pPr>
    </w:p>
    <w:p w14:paraId="06146BD0" w14:textId="32E16375" w:rsidR="009737E6" w:rsidRDefault="009737E6" w:rsidP="009737E6">
      <w:pPr>
        <w:jc w:val="both"/>
      </w:pPr>
      <w:r>
        <w:t>De recent verschenen plan-MER en de Integrale Effectenanalyse bevestigen bovendien dat de effecten van samenhangende energieprojecten integraal moeten worden beoordeeld. Daarbij dienen niet alleen de afzonderlijke projecten, maar ook de gezamenlijke effecten op Natura 2000-gebieden, beschermde soorten, hydrologie en stikstofdepositie in samenhang te worden onderzocht.</w:t>
      </w:r>
    </w:p>
    <w:p w14:paraId="53EF2B4E" w14:textId="77777777" w:rsidR="003347EF" w:rsidRDefault="003347EF" w:rsidP="00C1572E">
      <w:pPr>
        <w:jc w:val="both"/>
      </w:pPr>
    </w:p>
    <w:p w14:paraId="195D3850" w14:textId="77777777" w:rsidR="003347EF" w:rsidRDefault="001075BF" w:rsidP="00C1572E">
      <w:pPr>
        <w:jc w:val="both"/>
      </w:pPr>
      <w:r>
        <w:rPr>
          <w:b/>
          <w:bCs/>
        </w:rPr>
        <w:t>Bestaande ondernemers en toekomstig grondgebruik</w:t>
      </w:r>
    </w:p>
    <w:p w14:paraId="11A6083B" w14:textId="4E63DF4E" w:rsidR="00672B56" w:rsidRDefault="001075BF" w:rsidP="00C1572E">
      <w:pPr>
        <w:jc w:val="both"/>
      </w:pPr>
      <w:r>
        <w:t>In de Paulinapolder zijn thans ondernemers gevestigd met concrete toekomstplannen. Het Ontwerpprogramma weegt potentieel toekomstig industriegebruik</w:t>
      </w:r>
      <w:r w:rsidR="00AE1D3D">
        <w:t>, t.b.v. de energietransitie, v</w:t>
      </w:r>
      <w:r>
        <w:t xml:space="preserve">an de al aangewezen industriegebieden in de </w:t>
      </w:r>
      <w:r w:rsidR="00AE1D3D">
        <w:t>kanaalzones</w:t>
      </w:r>
      <w:r>
        <w:t xml:space="preserve"> zwaarder dan het bestaande en aantoonbaar geplande gebruik door huidige gebruikers van de Paulinapolder. Dit verdraagt zich niet met het zorgvuldigheidsbeginsel (artikel 3:2 Awb) noch met het gelijkheidsbeginsel: de belangen van grotere ondernemers elders mogen niet structureel prevaleren boven die van bestaande gebruikers van het plangebied. Wij verzoeken om een inventarisatie van de concrete plannen van de betrokken ondernemers in de Paulinapolder en een expliciete belangenafweging.</w:t>
      </w:r>
    </w:p>
    <w:p w14:paraId="79BA9A4A" w14:textId="77777777" w:rsidR="0048386A" w:rsidRDefault="0048386A" w:rsidP="00C1572E">
      <w:pPr>
        <w:jc w:val="both"/>
      </w:pPr>
    </w:p>
    <w:p w14:paraId="1A231529" w14:textId="77777777" w:rsidR="00AE1D3D" w:rsidRDefault="00AE1D3D" w:rsidP="0048386A">
      <w:pPr>
        <w:jc w:val="both"/>
      </w:pPr>
    </w:p>
    <w:p w14:paraId="564369D6" w14:textId="77777777" w:rsidR="00AE1D3D" w:rsidRDefault="00AE1D3D" w:rsidP="0048386A">
      <w:pPr>
        <w:jc w:val="both"/>
      </w:pPr>
    </w:p>
    <w:p w14:paraId="7B673A32" w14:textId="77777777" w:rsidR="00AE1D3D" w:rsidRDefault="00AE1D3D" w:rsidP="0048386A">
      <w:pPr>
        <w:jc w:val="both"/>
      </w:pPr>
    </w:p>
    <w:p w14:paraId="0BFCA3BC" w14:textId="42308294" w:rsidR="00672B56" w:rsidRDefault="0048386A" w:rsidP="00C1572E">
      <w:pPr>
        <w:jc w:val="both"/>
      </w:pPr>
      <w:r>
        <w:t>Daarnaast verzoeken wij ook de gevolgen van een langdurige aanlegfase voor de bereikbaarheid, bedrijfsvoering en logistiek van bestaande bedrijven en agrarische ondernemingen expliciet te betrekken bij de belangenafweging</w:t>
      </w:r>
    </w:p>
    <w:p w14:paraId="2EACC026" w14:textId="77777777" w:rsidR="008A13B6" w:rsidRDefault="008A13B6" w:rsidP="00C1572E">
      <w:pPr>
        <w:jc w:val="both"/>
        <w:rPr>
          <w:b/>
          <w:bCs/>
        </w:rPr>
      </w:pPr>
    </w:p>
    <w:p w14:paraId="43787A70" w14:textId="5608E7AD" w:rsidR="003347EF" w:rsidRDefault="001075BF" w:rsidP="00C1572E">
      <w:pPr>
        <w:jc w:val="both"/>
      </w:pPr>
      <w:r>
        <w:rPr>
          <w:b/>
          <w:bCs/>
        </w:rPr>
        <w:t>Cultuurhistorische waarde</w:t>
      </w:r>
    </w:p>
    <w:p w14:paraId="483E2C4F" w14:textId="467D0ED4" w:rsidR="001B6FF9" w:rsidRDefault="001075BF" w:rsidP="00C1572E">
      <w:pPr>
        <w:jc w:val="both"/>
      </w:pPr>
      <w:r>
        <w:t>De Paulinapolder is de locatie waar in 1944 de landing van Canadese troepen plaatsvond, die de bevrijding van West Zeeuws-Vlaanderen inluidde. Er is ter plaatse een monument aanwezig en er vinden</w:t>
      </w:r>
      <w:r w:rsidR="00C1572E">
        <w:t xml:space="preserve"> op 4 mei en in oktober</w:t>
      </w:r>
      <w:r>
        <w:t xml:space="preserve"> jaarlijks herdenkingen </w:t>
      </w:r>
      <w:r w:rsidR="000B6532">
        <w:t>plaats. Biervliet</w:t>
      </w:r>
      <w:r w:rsidR="001720AA">
        <w:t xml:space="preserve"> </w:t>
      </w:r>
      <w:r w:rsidR="00C1572E">
        <w:t xml:space="preserve">is </w:t>
      </w:r>
      <w:r w:rsidR="00575564">
        <w:t>met de</w:t>
      </w:r>
      <w:r w:rsidR="001720AA" w:rsidRPr="001720AA">
        <w:t xml:space="preserve"> Paulinapolder</w:t>
      </w:r>
      <w:r w:rsidR="00575564">
        <w:t xml:space="preserve"> </w:t>
      </w:r>
      <w:r w:rsidR="00DC7AF0">
        <w:t xml:space="preserve">gelegen </w:t>
      </w:r>
      <w:r w:rsidR="00575564">
        <w:t xml:space="preserve">in het door Unesco aangewezen </w:t>
      </w:r>
      <w:r w:rsidR="003008C0">
        <w:t>Geopark Schelde Delta</w:t>
      </w:r>
      <w:r w:rsidR="00501E0A">
        <w:t xml:space="preserve">. </w:t>
      </w:r>
      <w:r w:rsidR="00501E0A" w:rsidRPr="00501E0A">
        <w:t>Nergens in de wereld is de wisselwerking tussen natuurlijke processen en cultuurhistorie zo aanwezig</w:t>
      </w:r>
      <w:r w:rsidR="00801F7A">
        <w:t xml:space="preserve"> als in dit </w:t>
      </w:r>
      <w:r w:rsidR="00B93B77">
        <w:t>G</w:t>
      </w:r>
      <w:r w:rsidR="00801F7A">
        <w:t xml:space="preserve">eopark, waar Biervliet en de Paulinapolder een </w:t>
      </w:r>
      <w:r w:rsidR="00B93B77">
        <w:t>exemplarisch</w:t>
      </w:r>
      <w:r w:rsidR="00801F7A">
        <w:t xml:space="preserve"> voorbeeld van zijn voor wie </w:t>
      </w:r>
      <w:r w:rsidR="00B93B77">
        <w:t>bekend is met de geschiedenis van Biervliet</w:t>
      </w:r>
      <w:r w:rsidR="005A4614">
        <w:t xml:space="preserve"> en omstreken</w:t>
      </w:r>
      <w:r w:rsidR="00501E0A" w:rsidRPr="00501E0A">
        <w:t>.</w:t>
      </w:r>
      <w:r w:rsidR="00501E0A">
        <w:t xml:space="preserve"> </w:t>
      </w:r>
      <w:r>
        <w:t xml:space="preserve">Ingevolge </w:t>
      </w:r>
      <w:r w:rsidR="00E21C41" w:rsidRPr="00C1572E">
        <w:t>Omgevingswet en het Besluit kwaliteit leefomgeving (Bkl)</w:t>
      </w:r>
      <w:r w:rsidR="003477FC" w:rsidRPr="00C1572E">
        <w:t>,</w:t>
      </w:r>
      <w:r w:rsidR="00E21C41" w:rsidRPr="00C1572E">
        <w:t> </w:t>
      </w:r>
      <w:r>
        <w:t xml:space="preserve">dienen cultuurhistorische waarden te worden meegewogen in ruimtelijke besluitvorming. </w:t>
      </w:r>
    </w:p>
    <w:p w14:paraId="0F5B3E27" w14:textId="77777777" w:rsidR="00606F5C" w:rsidRDefault="00606F5C" w:rsidP="00C1572E">
      <w:pPr>
        <w:jc w:val="both"/>
      </w:pPr>
    </w:p>
    <w:p w14:paraId="2C733300" w14:textId="77777777" w:rsidR="000E7588" w:rsidRDefault="000E7588" w:rsidP="00C1572E">
      <w:pPr>
        <w:jc w:val="both"/>
      </w:pPr>
    </w:p>
    <w:p w14:paraId="1589FE04" w14:textId="1F37966C" w:rsidR="00AE1D3D" w:rsidRDefault="001075BF" w:rsidP="00C1572E">
      <w:pPr>
        <w:jc w:val="both"/>
      </w:pPr>
      <w:r>
        <w:t>De Erfgoedwet en het</w:t>
      </w:r>
      <w:r w:rsidR="00C24860">
        <w:t xml:space="preserve"> </w:t>
      </w:r>
      <w:r w:rsidR="00593588" w:rsidRPr="00C1572E">
        <w:t xml:space="preserve">Verdrag van Florence (Europese </w:t>
      </w:r>
      <w:r w:rsidR="00A70185" w:rsidRPr="00C1572E">
        <w:t>Landschapsconventie)</w:t>
      </w:r>
      <w:r w:rsidR="00A70185">
        <w:t xml:space="preserve"> verplichten</w:t>
      </w:r>
      <w:r>
        <w:t xml:space="preserve"> eveneens tot zorgvuldige weging van cultuurhistorisch erfgoed in planprocessen. Het Ontwerpprogramma bevat hieromtrent geen kenbare afweging, hetgeen een motiveringsgebrek oplevert</w:t>
      </w:r>
      <w:r w:rsidR="000A20DF">
        <w:t>.</w:t>
      </w:r>
    </w:p>
    <w:p w14:paraId="5450AA7F" w14:textId="68264ABD" w:rsidR="000E7588" w:rsidRDefault="000E7588" w:rsidP="00C1572E">
      <w:pPr>
        <w:jc w:val="both"/>
      </w:pPr>
      <w:r>
        <w:rPr>
          <w:noProof/>
        </w:rPr>
        <w:drawing>
          <wp:anchor distT="0" distB="0" distL="114300" distR="114300" simplePos="0" relativeHeight="251658240" behindDoc="0" locked="0" layoutInCell="1" allowOverlap="1" wp14:anchorId="76D02EEF" wp14:editId="3E96B332">
            <wp:simplePos x="0" y="0"/>
            <wp:positionH relativeFrom="margin">
              <wp:posOffset>-92075</wp:posOffset>
            </wp:positionH>
            <wp:positionV relativeFrom="paragraph">
              <wp:posOffset>470535</wp:posOffset>
            </wp:positionV>
            <wp:extent cx="3639820" cy="2418715"/>
            <wp:effectExtent l="0" t="0" r="0" b="635"/>
            <wp:wrapTopAndBottom/>
            <wp:docPr id="693136248"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136248" name="Afbeelding 69313624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39820" cy="2418715"/>
                    </a:xfrm>
                    <a:prstGeom prst="rect">
                      <a:avLst/>
                    </a:prstGeom>
                  </pic:spPr>
                </pic:pic>
              </a:graphicData>
            </a:graphic>
            <wp14:sizeRelH relativeFrom="margin">
              <wp14:pctWidth>0</wp14:pctWidth>
            </wp14:sizeRelH>
            <wp14:sizeRelV relativeFrom="margin">
              <wp14:pctHeight>0</wp14:pctHeight>
            </wp14:sizeRelV>
          </wp:anchor>
        </w:drawing>
      </w:r>
    </w:p>
    <w:p w14:paraId="48F8D480" w14:textId="200E285A" w:rsidR="000E7588" w:rsidRDefault="000E7588" w:rsidP="00C1572E">
      <w:pPr>
        <w:jc w:val="both"/>
      </w:pPr>
      <w:r>
        <w:rPr>
          <w:noProof/>
        </w:rPr>
        <w:drawing>
          <wp:anchor distT="0" distB="0" distL="114300" distR="114300" simplePos="0" relativeHeight="251658241" behindDoc="0" locked="0" layoutInCell="1" allowOverlap="1" wp14:anchorId="3816B8B3" wp14:editId="1DE065EF">
            <wp:simplePos x="0" y="0"/>
            <wp:positionH relativeFrom="column">
              <wp:posOffset>3672840</wp:posOffset>
            </wp:positionH>
            <wp:positionV relativeFrom="paragraph">
              <wp:posOffset>289560</wp:posOffset>
            </wp:positionV>
            <wp:extent cx="1744980" cy="2327275"/>
            <wp:effectExtent l="0" t="0" r="7620" b="0"/>
            <wp:wrapTopAndBottom/>
            <wp:docPr id="227966956"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966956" name="Afbeelding 22796695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44980" cy="2327275"/>
                    </a:xfrm>
                    <a:prstGeom prst="rect">
                      <a:avLst/>
                    </a:prstGeom>
                  </pic:spPr>
                </pic:pic>
              </a:graphicData>
            </a:graphic>
            <wp14:sizeRelH relativeFrom="margin">
              <wp14:pctWidth>0</wp14:pctWidth>
            </wp14:sizeRelH>
            <wp14:sizeRelV relativeFrom="margin">
              <wp14:pctHeight>0</wp14:pctHeight>
            </wp14:sizeRelV>
          </wp:anchor>
        </w:drawing>
      </w:r>
    </w:p>
    <w:p w14:paraId="2CD00F4F" w14:textId="77777777" w:rsidR="000E7588" w:rsidRDefault="000E7588" w:rsidP="00C1572E">
      <w:pPr>
        <w:jc w:val="both"/>
      </w:pPr>
    </w:p>
    <w:p w14:paraId="4FF723A7" w14:textId="77777777" w:rsidR="000E7588" w:rsidRDefault="000E7588" w:rsidP="00C1572E">
      <w:pPr>
        <w:jc w:val="both"/>
      </w:pPr>
    </w:p>
    <w:p w14:paraId="77704EE3" w14:textId="77777777" w:rsidR="00AE1D3D" w:rsidRDefault="00AE1D3D" w:rsidP="00C1572E">
      <w:pPr>
        <w:jc w:val="both"/>
      </w:pPr>
    </w:p>
    <w:p w14:paraId="4D1EEAC4" w14:textId="0759A7E0" w:rsidR="003347EF" w:rsidRPr="00AE1D3D" w:rsidRDefault="000A20DF" w:rsidP="00C1572E">
      <w:pPr>
        <w:jc w:val="both"/>
      </w:pPr>
      <w:r w:rsidRPr="00AE1D3D">
        <w:rPr>
          <w:color w:val="0070C0"/>
          <w:sz w:val="20"/>
          <w:szCs w:val="20"/>
        </w:rPr>
        <w:t>1.</w:t>
      </w:r>
      <w:r w:rsidR="005156FB" w:rsidRPr="00AE1D3D">
        <w:rPr>
          <w:color w:val="0070C0"/>
          <w:sz w:val="20"/>
          <w:szCs w:val="20"/>
        </w:rPr>
        <w:t xml:space="preserve"> </w:t>
      </w:r>
      <w:r w:rsidR="00D62123" w:rsidRPr="00AE1D3D">
        <w:rPr>
          <w:color w:val="0070C0"/>
          <w:sz w:val="20"/>
          <w:szCs w:val="20"/>
        </w:rPr>
        <w:t xml:space="preserve">Slag om de Westerschelde in </w:t>
      </w:r>
      <w:r w:rsidRPr="00AE1D3D">
        <w:rPr>
          <w:color w:val="0070C0"/>
          <w:sz w:val="20"/>
          <w:szCs w:val="20"/>
        </w:rPr>
        <w:t>W</w:t>
      </w:r>
      <w:r w:rsidR="005156FB" w:rsidRPr="00AE1D3D">
        <w:rPr>
          <w:color w:val="0070C0"/>
          <w:sz w:val="20"/>
          <w:szCs w:val="20"/>
        </w:rPr>
        <w:t>est-Zeeuws-Vlaanderen</w:t>
      </w:r>
      <w:r w:rsidR="00D62123" w:rsidRPr="00AE1D3D">
        <w:rPr>
          <w:color w:val="0070C0"/>
          <w:sz w:val="20"/>
          <w:szCs w:val="20"/>
        </w:rPr>
        <w:t>,</w:t>
      </w:r>
      <w:r w:rsidR="005156FB" w:rsidRPr="00AE1D3D">
        <w:rPr>
          <w:color w:val="0070C0"/>
          <w:sz w:val="20"/>
          <w:szCs w:val="20"/>
        </w:rPr>
        <w:t xml:space="preserve"> oktober 1944. </w:t>
      </w:r>
      <w:r w:rsidRPr="00AE1D3D">
        <w:rPr>
          <w:color w:val="0070C0"/>
          <w:sz w:val="20"/>
          <w:szCs w:val="20"/>
        </w:rPr>
        <w:t>Canadese</w:t>
      </w:r>
      <w:r w:rsidR="005156FB" w:rsidRPr="00AE1D3D">
        <w:rPr>
          <w:color w:val="0070C0"/>
          <w:sz w:val="20"/>
          <w:szCs w:val="20"/>
        </w:rPr>
        <w:t xml:space="preserve"> eenheden landen met</w:t>
      </w:r>
      <w:r w:rsidRPr="00AE1D3D">
        <w:rPr>
          <w:color w:val="0070C0"/>
          <w:sz w:val="20"/>
          <w:szCs w:val="20"/>
        </w:rPr>
        <w:t xml:space="preserve"> materieel </w:t>
      </w:r>
      <w:r w:rsidR="002D6386" w:rsidRPr="00AE1D3D">
        <w:rPr>
          <w:color w:val="0070C0"/>
          <w:sz w:val="20"/>
          <w:szCs w:val="20"/>
        </w:rPr>
        <w:t xml:space="preserve">in de </w:t>
      </w:r>
      <w:r w:rsidRPr="00AE1D3D">
        <w:rPr>
          <w:color w:val="0070C0"/>
          <w:sz w:val="20"/>
          <w:szCs w:val="20"/>
        </w:rPr>
        <w:t xml:space="preserve">Paulinahaven, omgeving Paulinapolder. 2. Het monument ter nagedachtenis aan hen die vielen </w:t>
      </w:r>
      <w:r w:rsidR="00035D42" w:rsidRPr="00AE1D3D">
        <w:rPr>
          <w:color w:val="0070C0"/>
          <w:sz w:val="20"/>
          <w:szCs w:val="20"/>
        </w:rPr>
        <w:t xml:space="preserve">tijdens </w:t>
      </w:r>
      <w:r w:rsidRPr="00AE1D3D">
        <w:rPr>
          <w:color w:val="0070C0"/>
          <w:sz w:val="20"/>
          <w:szCs w:val="20"/>
        </w:rPr>
        <w:t>de bevrijding van Zeeuws-Vlaanderen</w:t>
      </w:r>
      <w:r w:rsidRPr="007F045D">
        <w:rPr>
          <w:color w:val="0070C0"/>
          <w:sz w:val="20"/>
          <w:szCs w:val="20"/>
        </w:rPr>
        <w:t>.</w:t>
      </w:r>
    </w:p>
    <w:p w14:paraId="7265E380" w14:textId="77777777" w:rsidR="000E7588" w:rsidRDefault="000E7588" w:rsidP="00C1572E">
      <w:pPr>
        <w:pStyle w:val="Kop1"/>
        <w:jc w:val="both"/>
      </w:pPr>
    </w:p>
    <w:p w14:paraId="36213CD7" w14:textId="571F9A0E" w:rsidR="003347EF" w:rsidRDefault="001075BF" w:rsidP="00C1572E">
      <w:pPr>
        <w:pStyle w:val="Kop1"/>
        <w:jc w:val="both"/>
      </w:pPr>
      <w:r>
        <w:t>2.  Onvolledige plan-MER: het cumulatieve effect ontbreekt</w:t>
      </w:r>
    </w:p>
    <w:p w14:paraId="3427E391" w14:textId="6AFB7B6F" w:rsidR="003347EF" w:rsidRDefault="001075BF" w:rsidP="00C1572E">
      <w:pPr>
        <w:jc w:val="both"/>
      </w:pPr>
      <w:r>
        <w:t xml:space="preserve">Dit is het </w:t>
      </w:r>
      <w:r w:rsidR="000B6532">
        <w:t>zwaarstwegende</w:t>
      </w:r>
      <w:r>
        <w:t xml:space="preserve"> juridische argument in deze zienswijze.</w:t>
      </w:r>
    </w:p>
    <w:p w14:paraId="7951F4E2" w14:textId="77777777" w:rsidR="003347EF" w:rsidRDefault="003347EF" w:rsidP="00C1572E">
      <w:pPr>
        <w:jc w:val="both"/>
      </w:pPr>
    </w:p>
    <w:p w14:paraId="2C972244" w14:textId="0BC69E3D" w:rsidR="008A13B6" w:rsidRDefault="001075BF" w:rsidP="00C1572E">
      <w:pPr>
        <w:jc w:val="both"/>
      </w:pPr>
      <w:r>
        <w:t xml:space="preserve">De </w:t>
      </w:r>
      <w:r w:rsidR="00973B9A">
        <w:t xml:space="preserve">locatie </w:t>
      </w:r>
      <w:r>
        <w:t xml:space="preserve">Paulinapolder/Mosselbanken is eveneens aangewezen </w:t>
      </w:r>
      <w:r w:rsidR="00973B9A">
        <w:t>door het ministerie</w:t>
      </w:r>
      <w:r w:rsidR="00AF1FDB">
        <w:t xml:space="preserve"> van EZK</w:t>
      </w:r>
      <w:r w:rsidR="00973B9A">
        <w:t xml:space="preserve"> </w:t>
      </w:r>
      <w:r>
        <w:t xml:space="preserve">als potentiële locatie voor </w:t>
      </w:r>
      <w:r w:rsidR="00973B9A">
        <w:t xml:space="preserve">de bouw van </w:t>
      </w:r>
      <w:r>
        <w:t xml:space="preserve">twee kerncentrales, </w:t>
      </w:r>
      <w:r w:rsidR="00F07424">
        <w:t xml:space="preserve">de </w:t>
      </w:r>
      <w:r>
        <w:t>bijbehorende 380kV-</w:t>
      </w:r>
      <w:r w:rsidR="000B6532">
        <w:t>hoogspanningsinfrastructuur en</w:t>
      </w:r>
      <w:r>
        <w:t xml:space="preserve"> een </w:t>
      </w:r>
      <w:r w:rsidR="00416B6E">
        <w:t xml:space="preserve">380kV </w:t>
      </w:r>
      <w:r>
        <w:t>hoogspannings</w:t>
      </w:r>
      <w:r w:rsidR="00416B6E">
        <w:t>schakel</w:t>
      </w:r>
      <w:r>
        <w:t xml:space="preserve">station. Het Ontwerpprogramma VAWOZ beoordeelt de </w:t>
      </w:r>
    </w:p>
    <w:p w14:paraId="582C7FAE" w14:textId="787A5449" w:rsidR="003347EF" w:rsidRDefault="001075BF" w:rsidP="00C1572E">
      <w:pPr>
        <w:jc w:val="both"/>
      </w:pPr>
      <w:r>
        <w:t xml:space="preserve">milieueffecten van </w:t>
      </w:r>
      <w:r w:rsidR="00F07424">
        <w:t xml:space="preserve">de </w:t>
      </w:r>
      <w:r>
        <w:t>converterstation</w:t>
      </w:r>
      <w:r w:rsidR="00F07424">
        <w:t>s</w:t>
      </w:r>
      <w:r>
        <w:t xml:space="preserve"> en de 380kV-aansluiting als zelfstandig project. Dit is in strijd met het plan-</w:t>
      </w:r>
      <w:r w:rsidR="000E7588">
        <w:t>MER</w:t>
      </w:r>
      <w:r>
        <w:t>-kader.</w:t>
      </w:r>
    </w:p>
    <w:p w14:paraId="386E9E63" w14:textId="77777777" w:rsidR="008A13B6" w:rsidRDefault="008A13B6" w:rsidP="00ED5234">
      <w:pPr>
        <w:jc w:val="both"/>
      </w:pPr>
    </w:p>
    <w:p w14:paraId="66B23319" w14:textId="7467427D" w:rsidR="00843763" w:rsidRDefault="001075BF" w:rsidP="00ED5234">
      <w:pPr>
        <w:jc w:val="both"/>
      </w:pPr>
      <w:r>
        <w:t>Artikel 7.7 Wet milieubeheer vereist dat een plan-MER de cumulatieve milieueffecten beschrijft van alle redelijkerwijs voorzienbare plannen en projecten in het studiegebied. Bijlage II bij de Europese MER-richtlijn (2011/92/EU, gewijzigd bij 2014/52/EU) verplicht expliciet tot beoordeling van "de samenloop van het project met andere bestaande en/of goedgekeurde projecten." Wanneer meerdere grootschalige energieprojecten op dezelfde</w:t>
      </w:r>
      <w:r w:rsidR="00843763">
        <w:t xml:space="preserve"> locatie worden voorzien</w:t>
      </w:r>
      <w:r w:rsidR="004C3A81">
        <w:t xml:space="preserve"> zoals; kerncentrales, converterstations, hoogspanningsinfrastructuur en </w:t>
      </w:r>
      <w:r w:rsidR="0076689E">
        <w:t xml:space="preserve">een </w:t>
      </w:r>
      <w:r w:rsidR="0076689E" w:rsidRPr="0076689E">
        <w:t>380 kV hoogspanningsschakelstation</w:t>
      </w:r>
      <w:r w:rsidR="0076689E">
        <w:t>,</w:t>
      </w:r>
    </w:p>
    <w:p w14:paraId="178BF7F2" w14:textId="5323D138" w:rsidR="003347EF" w:rsidRDefault="001075BF" w:rsidP="005156FB">
      <w:pPr>
        <w:jc w:val="both"/>
      </w:pPr>
      <w:r>
        <w:t xml:space="preserve">dienen de gecombineerde effecten op </w:t>
      </w:r>
      <w:r w:rsidR="00820F56">
        <w:t xml:space="preserve">de </w:t>
      </w:r>
      <w:r>
        <w:t>gezondheid, veiligheid, geluid, elektromagnetische velden, verkeer, stof</w:t>
      </w:r>
      <w:r w:rsidR="009445D6">
        <w:t xml:space="preserve">, </w:t>
      </w:r>
      <w:r w:rsidR="00820F56">
        <w:t>natuur</w:t>
      </w:r>
      <w:r>
        <w:t xml:space="preserve"> en </w:t>
      </w:r>
      <w:r w:rsidR="009445D6">
        <w:t xml:space="preserve">de </w:t>
      </w:r>
      <w:r>
        <w:t>leefomgeving integraal te worden beoordeeld.</w:t>
      </w:r>
    </w:p>
    <w:p w14:paraId="54D0A803" w14:textId="77777777" w:rsidR="0093502A" w:rsidRDefault="0093502A" w:rsidP="005156FB">
      <w:pPr>
        <w:jc w:val="both"/>
      </w:pPr>
    </w:p>
    <w:p w14:paraId="3DB7C8EC" w14:textId="72B1CBF5" w:rsidR="0093502A" w:rsidRDefault="007E34EB" w:rsidP="007E34EB">
      <w:pPr>
        <w:jc w:val="both"/>
      </w:pPr>
      <w:r>
        <w:t>De Integrale Effectenanalyse,</w:t>
      </w:r>
      <w:r w:rsidR="00BB3911">
        <w:t xml:space="preserve"> </w:t>
      </w:r>
      <w:r>
        <w:t xml:space="preserve">plan-MER en TenneT-notities ondersteunen dit uitgangspunt. Zij bevestigen dat de beoordeling van </w:t>
      </w:r>
      <w:r w:rsidR="00BB3911">
        <w:t>de</w:t>
      </w:r>
      <w:r>
        <w:t xml:space="preserve"> converterstation</w:t>
      </w:r>
      <w:r w:rsidR="00BB3911">
        <w:t>s</w:t>
      </w:r>
      <w:r>
        <w:t xml:space="preserve"> niet los kan worden gezien van de overige voorziene energie-infrastructuur in hetzelfde gebied. Ook de gezamenlijke effecten van de aanlegfase, waaronder bouwverkeer, zwaar transport en langdurige hinder voor de omgeving, dienen onderdeel uit te maken van de cumulatieve beoordeling.</w:t>
      </w:r>
    </w:p>
    <w:p w14:paraId="29DED14B" w14:textId="77777777" w:rsidR="00064829" w:rsidRDefault="00064829" w:rsidP="005156FB">
      <w:pPr>
        <w:jc w:val="both"/>
      </w:pPr>
    </w:p>
    <w:p w14:paraId="5DDAA076" w14:textId="5A0C9FD4" w:rsidR="003347EF" w:rsidRDefault="001075BF" w:rsidP="005156FB">
      <w:pPr>
        <w:jc w:val="both"/>
      </w:pPr>
      <w:r>
        <w:t xml:space="preserve">De huidige plan-MER voldoet hier niet aan. De beoordeling van de VAWOZ-locatiekeuze kan niet worden losgekoppeld van de bredere ruimtelijke programmering voor de </w:t>
      </w:r>
      <w:r w:rsidR="00360077">
        <w:t xml:space="preserve">Mosselbanken of </w:t>
      </w:r>
      <w:r>
        <w:t xml:space="preserve">Paulinapolder. Wij verzoeken om een gecombineerde, integrale cumulatieve effectbeoordeling voordat de locatiekeuze wordt vastgesteld. Bij gebreke hiervan is het ontwerpprogramma </w:t>
      </w:r>
      <w:r w:rsidR="00794F7B">
        <w:t xml:space="preserve">in </w:t>
      </w:r>
      <w:r>
        <w:t xml:space="preserve">strijd </w:t>
      </w:r>
      <w:r w:rsidR="00794F7B">
        <w:t xml:space="preserve">zijn </w:t>
      </w:r>
      <w:r>
        <w:t>met artikel 7.7 Wm en de MER-richtlijn.</w:t>
      </w:r>
    </w:p>
    <w:p w14:paraId="274AB97E" w14:textId="77777777" w:rsidR="003347EF" w:rsidRDefault="003347EF" w:rsidP="005156FB">
      <w:pPr>
        <w:jc w:val="both"/>
      </w:pPr>
    </w:p>
    <w:p w14:paraId="78BADC74" w14:textId="2C7CD078" w:rsidR="003347EF" w:rsidRDefault="001075BF" w:rsidP="005156FB">
      <w:pPr>
        <w:jc w:val="both"/>
      </w:pPr>
      <w:r>
        <w:rPr>
          <w:b/>
          <w:bCs/>
        </w:rPr>
        <w:t>De 380kV-verbinding als onlosmakelijk onderdeel van de locatiekeuze</w:t>
      </w:r>
    </w:p>
    <w:p w14:paraId="1417B421" w14:textId="77777777" w:rsidR="000E7588" w:rsidRDefault="00772D94" w:rsidP="005156FB">
      <w:pPr>
        <w:jc w:val="both"/>
      </w:pPr>
      <w:r>
        <w:t>De voorziene c</w:t>
      </w:r>
      <w:r w:rsidR="001075BF">
        <w:t>onverterstation</w:t>
      </w:r>
      <w:r w:rsidR="00731A0F">
        <w:t>s</w:t>
      </w:r>
      <w:r w:rsidR="001075BF">
        <w:t xml:space="preserve"> </w:t>
      </w:r>
      <w:r w:rsidR="00731A0F">
        <w:t xml:space="preserve">vereisen </w:t>
      </w:r>
      <w:r w:rsidR="001075BF">
        <w:t xml:space="preserve">per definitie een </w:t>
      </w:r>
      <w:r w:rsidR="00857FFA">
        <w:t xml:space="preserve">nabijgelegen </w:t>
      </w:r>
      <w:r w:rsidR="001075BF">
        <w:t xml:space="preserve">380kV-aansluiting op het landelijke hoogspanningsnet. De locatiekeuze voor </w:t>
      </w:r>
      <w:r w:rsidR="00731A0F">
        <w:t xml:space="preserve">de </w:t>
      </w:r>
      <w:r w:rsidR="001075BF">
        <w:t>converterstation</w:t>
      </w:r>
      <w:r w:rsidR="00731A0F">
        <w:t>s</w:t>
      </w:r>
      <w:r w:rsidR="001075BF">
        <w:t xml:space="preserve"> en de </w:t>
      </w:r>
      <w:r w:rsidR="000C7943">
        <w:t xml:space="preserve">locatiekeuze </w:t>
      </w:r>
      <w:r w:rsidR="001075BF">
        <w:t xml:space="preserve">voor </w:t>
      </w:r>
      <w:r w:rsidR="000C7943">
        <w:t>het 380kV hoogspanningsschakelstation</w:t>
      </w:r>
      <w:r w:rsidR="001075BF">
        <w:t xml:space="preserve"> zijn derhalve onlosmakelijk </w:t>
      </w:r>
      <w:r w:rsidR="000B6532">
        <w:t>verbonden.</w:t>
      </w:r>
      <w:r w:rsidR="001075BF">
        <w:t xml:space="preserve"> </w:t>
      </w:r>
      <w:r w:rsidR="00D76232">
        <w:t>C</w:t>
      </w:r>
      <w:r w:rsidR="001075BF">
        <w:t>onverterstation</w:t>
      </w:r>
      <w:r w:rsidR="00D76232">
        <w:t>s</w:t>
      </w:r>
      <w:r w:rsidR="001075BF">
        <w:t xml:space="preserve"> op de Mosselbanken gecombineerd met een 380kV-</w:t>
      </w:r>
      <w:r w:rsidR="0023188F">
        <w:t>hoogspanningschakel</w:t>
      </w:r>
      <w:r w:rsidR="001075BF">
        <w:t>station</w:t>
      </w:r>
      <w:r w:rsidR="00D76232">
        <w:t xml:space="preserve">, </w:t>
      </w:r>
      <w:r w:rsidR="001075BF">
        <w:t xml:space="preserve">gelegen op reeds </w:t>
      </w:r>
      <w:r w:rsidR="0023188F">
        <w:t xml:space="preserve">bestemd </w:t>
      </w:r>
      <w:r w:rsidR="001075BF">
        <w:t>industrieterrein</w:t>
      </w:r>
      <w:r w:rsidR="00D76232">
        <w:t xml:space="preserve">, </w:t>
      </w:r>
    </w:p>
    <w:p w14:paraId="2434ECFF" w14:textId="77777777" w:rsidR="000E7588" w:rsidRDefault="000E7588" w:rsidP="005156FB">
      <w:pPr>
        <w:jc w:val="both"/>
      </w:pPr>
    </w:p>
    <w:p w14:paraId="5A651CA1" w14:textId="0D5FC873" w:rsidR="003347EF" w:rsidRDefault="001075BF" w:rsidP="005156FB">
      <w:pPr>
        <w:jc w:val="both"/>
      </w:pPr>
      <w:r>
        <w:t xml:space="preserve">plaatst beide </w:t>
      </w:r>
      <w:r w:rsidR="00A75CB0">
        <w:t>hoogspannings</w:t>
      </w:r>
      <w:r>
        <w:t xml:space="preserve">installaties in </w:t>
      </w:r>
      <w:r w:rsidR="00A264DB">
        <w:t xml:space="preserve">elkaars nabijheid en </w:t>
      </w:r>
      <w:r>
        <w:t>de directe nabijheid van de grootschalige afnemers: Dow</w:t>
      </w:r>
      <w:r w:rsidR="00D76232">
        <w:t xml:space="preserve"> Benelux</w:t>
      </w:r>
      <w:r>
        <w:t>, Yara</w:t>
      </w:r>
      <w:r w:rsidR="00FD3CF0">
        <w:t>, de kanaalzone</w:t>
      </w:r>
      <w:r>
        <w:t xml:space="preserve"> en de stad Terneuzen.</w:t>
      </w:r>
      <w:r w:rsidR="0023188F">
        <w:t xml:space="preserve"> </w:t>
      </w:r>
    </w:p>
    <w:p w14:paraId="2AC384C9" w14:textId="6BBA0032" w:rsidR="00182CA7" w:rsidRDefault="00182CA7" w:rsidP="005156FB">
      <w:pPr>
        <w:jc w:val="both"/>
      </w:pPr>
    </w:p>
    <w:p w14:paraId="562AABC2" w14:textId="2C0D8B68" w:rsidR="00182CA7" w:rsidRDefault="00182CA7" w:rsidP="00182CA7">
      <w:pPr>
        <w:jc w:val="both"/>
      </w:pPr>
      <w:r>
        <w:t>De recente TenneT-studies onderstrepen bovendien het belang van een doelmatige inpassing van nieuwe energie-infrastructuur in samenhang met bestaande industriële functies en het hoogspanningsnet. Deze bevinding ondersteunt een hernieuwde afweging van alternatieven waarbij optimaal wordt aangesloten op reeds aanwezige industriële infrastructuur.</w:t>
      </w:r>
    </w:p>
    <w:p w14:paraId="74082FFD" w14:textId="54CCA202" w:rsidR="003347EF" w:rsidRDefault="001075BF" w:rsidP="005156FB">
      <w:pPr>
        <w:pStyle w:val="Kop1"/>
        <w:jc w:val="both"/>
      </w:pPr>
      <w:r>
        <w:t xml:space="preserve">3.  Beschikbaar industriegebied in de </w:t>
      </w:r>
      <w:r w:rsidR="000E7588">
        <w:t>kanaalzones</w:t>
      </w:r>
      <w:r>
        <w:t xml:space="preserve"> is onvoldoende meegewogen</w:t>
      </w:r>
    </w:p>
    <w:p w14:paraId="79260580" w14:textId="2AC3C2F6" w:rsidR="003347EF" w:rsidRDefault="001075BF" w:rsidP="005156FB">
      <w:pPr>
        <w:jc w:val="both"/>
      </w:pPr>
      <w:r>
        <w:t>In de kanaalzone</w:t>
      </w:r>
      <w:r w:rsidR="000E7588">
        <w:t>s</w:t>
      </w:r>
      <w:r>
        <w:t xml:space="preserve"> liggen meerdere honderden hectaren bestemde industriegrond die op dit moment braak liggen. Tevens wordt al jaren gesproken over de ontwikkeling van de westelijke kanaaloever tot havengebied, wat tientallen extra hectares industriegebied zou opleveren. Dit aanbod aan industriegrond</w:t>
      </w:r>
      <w:r w:rsidR="00FD3CF0">
        <w:t xml:space="preserve">, </w:t>
      </w:r>
      <w:r>
        <w:t xml:space="preserve">op kortere afstand van de grootverbruikers en bereikbaar zonder doorkruising van natuur- of </w:t>
      </w:r>
      <w:r w:rsidR="001809C7">
        <w:t xml:space="preserve">op te offeren </w:t>
      </w:r>
      <w:r>
        <w:t>agrarisch gebied</w:t>
      </w:r>
      <w:r w:rsidR="00FD3CF0">
        <w:t>,</w:t>
      </w:r>
      <w:r>
        <w:t xml:space="preserve"> is in het Ontwerpprogramma niet serieus als alternatief beoordeeld.</w:t>
      </w:r>
      <w:r w:rsidR="00F85B92">
        <w:t xml:space="preserve"> </w:t>
      </w:r>
    </w:p>
    <w:p w14:paraId="39AED339" w14:textId="78813EA6" w:rsidR="008A13B6" w:rsidRDefault="008A13B6" w:rsidP="005156FB">
      <w:pPr>
        <w:jc w:val="both"/>
      </w:pPr>
    </w:p>
    <w:p w14:paraId="3C3D35A3" w14:textId="57AB5C89" w:rsidR="003347EF" w:rsidRDefault="001075BF" w:rsidP="005156FB">
      <w:pPr>
        <w:jc w:val="both"/>
      </w:pPr>
      <w:r>
        <w:t>Het kaartmateriaal uit het Gemeentelijk Verkeers- en Vervoersplan (GVVP)</w:t>
      </w:r>
      <w:r w:rsidR="00B011F9">
        <w:t>,</w:t>
      </w:r>
      <w:r w:rsidR="00F85B92">
        <w:t xml:space="preserve"> </w:t>
      </w:r>
      <w:r>
        <w:t xml:space="preserve">waarvan de </w:t>
      </w:r>
      <w:r w:rsidR="00B011F9">
        <w:t xml:space="preserve">Dorpsraad Biervliet </w:t>
      </w:r>
      <w:r>
        <w:t>kennis heeft genomen</w:t>
      </w:r>
      <w:r w:rsidR="00B011F9">
        <w:t xml:space="preserve">, </w:t>
      </w:r>
      <w:r>
        <w:t xml:space="preserve">toont </w:t>
      </w:r>
      <w:r w:rsidR="00B011F9">
        <w:t xml:space="preserve">aan </w:t>
      </w:r>
      <w:r>
        <w:t>dat de Paulinapolder niet is opgenomen als beoogd industriegebied. Het beoogde industriegebied bevindt zich elders in de gemeente. Dit is een ruimtelijk-planologisch gegeven dat de voorkeur voor de Paulinapolder weerspreekt. Het bestemmingsplan en de gemeentelijke structuurvisie hanteren de Braakman nadrukkelijk als buffer tussen het landelijk karakter van West Zeeuws-Vlaanderen en de industriële kanaalzone</w:t>
      </w:r>
      <w:r w:rsidR="000E7588">
        <w:t>s</w:t>
      </w:r>
      <w:r>
        <w:t>. De Paulinapolder</w:t>
      </w:r>
      <w:r w:rsidR="00604ACC">
        <w:t xml:space="preserve"> </w:t>
      </w:r>
      <w:r>
        <w:t>keuze druist in tegen dit vastgestelde ruimtelijk beleid</w:t>
      </w:r>
      <w:r w:rsidR="00F85B92">
        <w:t xml:space="preserve"> en de nadrukkelijke wens van de </w:t>
      </w:r>
      <w:r w:rsidR="00C74416">
        <w:t>lokale</w:t>
      </w:r>
      <w:r w:rsidR="00F85B92">
        <w:t xml:space="preserve"> bevolking van Biervliet</w:t>
      </w:r>
      <w:r w:rsidR="004837AF">
        <w:t>, Driewegen</w:t>
      </w:r>
      <w:r w:rsidR="00F85B92">
        <w:t xml:space="preserve"> </w:t>
      </w:r>
      <w:r w:rsidR="00C74416">
        <w:t>en polder</w:t>
      </w:r>
      <w:r w:rsidR="004837AF">
        <w:t>bewoners</w:t>
      </w:r>
      <w:r w:rsidR="00F85B92">
        <w:t>.</w:t>
      </w:r>
    </w:p>
    <w:p w14:paraId="7FFA1351" w14:textId="6409E4AF" w:rsidR="001D741B" w:rsidRPr="00CC1037" w:rsidRDefault="000E7588" w:rsidP="000E7588">
      <w:pPr>
        <w:ind w:firstLine="708"/>
        <w:jc w:val="both"/>
        <w:rPr>
          <w:color w:val="0070C0"/>
        </w:rPr>
      </w:pPr>
      <w:r w:rsidRPr="00896EDF">
        <w:rPr>
          <w:noProof/>
          <w:color w:val="0F9ED5" w:themeColor="accent4"/>
          <w:sz w:val="20"/>
          <w:szCs w:val="20"/>
        </w:rPr>
        <w:drawing>
          <wp:anchor distT="0" distB="0" distL="114300" distR="114300" simplePos="0" relativeHeight="251658242" behindDoc="0" locked="0" layoutInCell="1" allowOverlap="1" wp14:anchorId="326F0AAE" wp14:editId="303AB372">
            <wp:simplePos x="0" y="0"/>
            <wp:positionH relativeFrom="margin">
              <wp:posOffset>342900</wp:posOffset>
            </wp:positionH>
            <wp:positionV relativeFrom="paragraph">
              <wp:posOffset>247650</wp:posOffset>
            </wp:positionV>
            <wp:extent cx="4259580" cy="2305350"/>
            <wp:effectExtent l="0" t="0" r="7620" b="0"/>
            <wp:wrapTopAndBottom/>
            <wp:docPr id="1011216486"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216486" name="Afbeelding 101121648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261284" cy="2306272"/>
                    </a:xfrm>
                    <a:prstGeom prst="rect">
                      <a:avLst/>
                    </a:prstGeom>
                  </pic:spPr>
                </pic:pic>
              </a:graphicData>
            </a:graphic>
            <wp14:sizeRelH relativeFrom="margin">
              <wp14:pctWidth>0</wp14:pctWidth>
            </wp14:sizeRelH>
            <wp14:sizeRelV relativeFrom="margin">
              <wp14:pctHeight>0</wp14:pctHeight>
            </wp14:sizeRelV>
          </wp:anchor>
        </w:drawing>
      </w:r>
      <w:r w:rsidR="00CC1037" w:rsidRPr="00896EDF">
        <w:rPr>
          <w:noProof/>
          <w:color w:val="0F9ED5" w:themeColor="accent4"/>
          <w:sz w:val="20"/>
          <w:szCs w:val="20"/>
        </w:rPr>
        <w:t>Kaart</w:t>
      </w:r>
      <w:r w:rsidR="00CC1037" w:rsidRPr="00896EDF">
        <w:rPr>
          <w:color w:val="0F9ED5" w:themeColor="accent4"/>
          <w:sz w:val="20"/>
          <w:szCs w:val="20"/>
        </w:rPr>
        <w:t>Terneuzen uit het Gemeentelijk Verkeers- en Vervoersplan (GVVP)</w:t>
      </w:r>
      <w:r w:rsidR="00CC1037" w:rsidRPr="00CC1037">
        <w:rPr>
          <w:color w:val="0070C0"/>
        </w:rPr>
        <w:t xml:space="preserve">, </w:t>
      </w:r>
    </w:p>
    <w:p w14:paraId="133F91CC" w14:textId="3864DF45" w:rsidR="003347EF" w:rsidRDefault="001075BF" w:rsidP="005156FB">
      <w:pPr>
        <w:pStyle w:val="Kop1"/>
        <w:jc w:val="both"/>
      </w:pPr>
      <w:r>
        <w:lastRenderedPageBreak/>
        <w:t>4.Gebrekkige participatie en schending van de evenredigheidsnorm</w:t>
      </w:r>
    </w:p>
    <w:p w14:paraId="47D56A49" w14:textId="77777777" w:rsidR="00BC4373" w:rsidRDefault="001075BF" w:rsidP="005156FB">
      <w:pPr>
        <w:jc w:val="both"/>
      </w:pPr>
      <w:r>
        <w:t>De Adviesgroep Rijk</w:t>
      </w:r>
      <w:r w:rsidR="008607DF">
        <w:t>-</w:t>
      </w:r>
      <w:r>
        <w:t xml:space="preserve"> Regio</w:t>
      </w:r>
      <w:r w:rsidR="008607DF">
        <w:t>-</w:t>
      </w:r>
      <w:r>
        <w:t xml:space="preserve">pakket telde vijftig deelnemers, waarvan slechts zes personen </w:t>
      </w:r>
      <w:r w:rsidR="00640DE9">
        <w:t xml:space="preserve">(inclusief 2 Dorpsraadleden van Biervliet) </w:t>
      </w:r>
      <w:r>
        <w:t>de gemeente Sluis en de directe omgeving van Biervliet vertegenwoordigden. Biervliet</w:t>
      </w:r>
      <w:r w:rsidR="00BE26F1">
        <w:t>,</w:t>
      </w:r>
      <w:r w:rsidR="00BE26F1" w:rsidRPr="00BE26F1">
        <w:t xml:space="preserve"> de dichtbijgelegen woonkern</w:t>
      </w:r>
      <w:r w:rsidR="00BE26F1">
        <w:t xml:space="preserve">, </w:t>
      </w:r>
      <w:r>
        <w:t xml:space="preserve">ligt op circa 2,5 km van de voorgenomen locatie. </w:t>
      </w:r>
    </w:p>
    <w:p w14:paraId="08C901F3" w14:textId="623FE231" w:rsidR="003347EF" w:rsidRDefault="001075BF" w:rsidP="005156FB">
      <w:pPr>
        <w:jc w:val="both"/>
      </w:pPr>
      <w:r>
        <w:t xml:space="preserve">De participatienorm vereist dat de meest direct geraakten evenredig worden vertegenwoordigd in adviesgremia die </w:t>
      </w:r>
      <w:r w:rsidR="000A3723">
        <w:t>locatiekeuze</w:t>
      </w:r>
      <w:r>
        <w:t xml:space="preserve"> beïnvloeden. Zes stemmen op vijftig is disproportioneel laag voor de inner </w:t>
      </w:r>
      <w:r w:rsidR="00134EF6">
        <w:t>cirkel</w:t>
      </w:r>
      <w:r>
        <w:t xml:space="preserve"> van het plangebied.</w:t>
      </w:r>
    </w:p>
    <w:p w14:paraId="225C7BA8" w14:textId="52160253" w:rsidR="003347EF" w:rsidRDefault="003347EF" w:rsidP="005156FB">
      <w:pPr>
        <w:jc w:val="both"/>
      </w:pPr>
    </w:p>
    <w:p w14:paraId="67121110" w14:textId="77777777" w:rsidR="008A13B6" w:rsidRDefault="001075BF" w:rsidP="005156FB">
      <w:pPr>
        <w:jc w:val="both"/>
      </w:pPr>
      <w:r>
        <w:t xml:space="preserve">Bovendien heeft de </w:t>
      </w:r>
      <w:r w:rsidR="00BB23BB">
        <w:t xml:space="preserve">Dorpsraad Biervliet </w:t>
      </w:r>
      <w:r>
        <w:t xml:space="preserve">op basis van haar eigen enquête onder bewoners </w:t>
      </w:r>
      <w:r w:rsidR="00BB23BB">
        <w:t xml:space="preserve">in </w:t>
      </w:r>
      <w:r w:rsidR="005E3A3A">
        <w:t xml:space="preserve">2025 </w:t>
      </w:r>
      <w:r>
        <w:t>vastgesteld dat de meerderheid</w:t>
      </w:r>
      <w:r w:rsidR="00640DE9">
        <w:t xml:space="preserve"> (92%) </w:t>
      </w:r>
      <w:r>
        <w:t>van de respondenten ernstige bezwaren heeft tegen deze locatie</w:t>
      </w:r>
      <w:r w:rsidR="005E3A3A">
        <w:t>,</w:t>
      </w:r>
      <w:r>
        <w:t xml:space="preserve"> niet vanuit ideologische weerstand tegen kernenergie of windenergie maar vanuit een locatie</w:t>
      </w:r>
      <w:r w:rsidR="00C6616D">
        <w:t xml:space="preserve"> </w:t>
      </w:r>
      <w:r>
        <w:t xml:space="preserve">specifiek bezwaar. Dat onderscheid is beleidsmatig relevant: het gaat niet om NIMBY-verzet, maar </w:t>
      </w:r>
    </w:p>
    <w:p w14:paraId="62872547" w14:textId="1550BE64" w:rsidR="00A9627A" w:rsidRDefault="001075BF" w:rsidP="005156FB">
      <w:pPr>
        <w:jc w:val="both"/>
      </w:pPr>
      <w:r>
        <w:t>om een onderbouwd oordeel van de direct omwonenden dat de Paulinapolder ruimtelijk, ecologisch en cultuurhistorisch niet de aangewezen locatie is.</w:t>
      </w:r>
    </w:p>
    <w:p w14:paraId="6112FC25" w14:textId="3E5049D1" w:rsidR="00A32EEB" w:rsidRDefault="001075BF" w:rsidP="005156FB">
      <w:pPr>
        <w:jc w:val="both"/>
      </w:pPr>
      <w:r>
        <w:t xml:space="preserve">Ingevolge </w:t>
      </w:r>
      <w:r w:rsidR="00493691">
        <w:t xml:space="preserve">de </w:t>
      </w:r>
      <w:r w:rsidR="00861C36" w:rsidRPr="005156FB">
        <w:t>participatienorm</w:t>
      </w:r>
      <w:r w:rsidR="00F60D68">
        <w:t>,</w:t>
      </w:r>
      <w:r w:rsidR="00861C36" w:rsidRPr="005156FB">
        <w:t xml:space="preserve"> artikel 6 (besluiten over specifieke activiteiten) en artikel 7 (plannen en programma’s)</w:t>
      </w:r>
      <w:r>
        <w:t xml:space="preserve"> van het Verdrag van Aarhus</w:t>
      </w:r>
      <w:r w:rsidR="00F60D68">
        <w:t>,</w:t>
      </w:r>
      <w:r>
        <w:t xml:space="preserve"> heeft het publiek recht op effectieve</w:t>
      </w:r>
      <w:r w:rsidR="000A4226">
        <w:t xml:space="preserve"> </w:t>
      </w:r>
      <w:r>
        <w:t xml:space="preserve">inspraakmogelijkheden in een vroeg stadium van besluitvorming over plannen die aanzienlijke milieueffecten kunnen hebben. </w:t>
      </w:r>
    </w:p>
    <w:p w14:paraId="6069C568" w14:textId="382651A6" w:rsidR="000E7588" w:rsidRDefault="001075BF" w:rsidP="00AE1D3D">
      <w:pPr>
        <w:jc w:val="both"/>
      </w:pPr>
      <w:r>
        <w:t>De vraag is of de gevolgde procedure</w:t>
      </w:r>
      <w:r w:rsidR="00F60D68">
        <w:t xml:space="preserve">, </w:t>
      </w:r>
      <w:r>
        <w:t>gegeven de beperkte vertegenwoordiging van de meest direct geraakten</w:t>
      </w:r>
      <w:r w:rsidR="00EB0E93">
        <w:t xml:space="preserve">, </w:t>
      </w:r>
      <w:r>
        <w:t>aan deze norm voldoet. Wij verzoeken om een expliciete verantwoording hiervan in de nota van antwoord.</w:t>
      </w:r>
    </w:p>
    <w:p w14:paraId="6C18788E" w14:textId="60CB180D" w:rsidR="003347EF" w:rsidRDefault="001075BF" w:rsidP="005156FB">
      <w:pPr>
        <w:pStyle w:val="Kop1"/>
        <w:jc w:val="both"/>
      </w:pPr>
      <w:r>
        <w:t>5.  Conclusie en verzoek</w:t>
      </w:r>
    </w:p>
    <w:p w14:paraId="01D5D6F3" w14:textId="2BC35F58" w:rsidR="003347EF" w:rsidRDefault="001075BF" w:rsidP="005156FB">
      <w:pPr>
        <w:jc w:val="both"/>
      </w:pPr>
      <w:r>
        <w:t>Op grond van het voorgaande verzoekt de</w:t>
      </w:r>
      <w:r w:rsidR="000E7588">
        <w:t xml:space="preserve"> Stichting</w:t>
      </w:r>
      <w:r>
        <w:t xml:space="preserve"> Dorpsraad Biervliet</w:t>
      </w:r>
      <w:r w:rsidR="000E7588">
        <w:t>;</w:t>
      </w:r>
    </w:p>
    <w:p w14:paraId="03A3E965" w14:textId="5CFB998A" w:rsidR="003347EF" w:rsidRDefault="003347EF" w:rsidP="005156FB">
      <w:pPr>
        <w:jc w:val="both"/>
      </w:pPr>
    </w:p>
    <w:p w14:paraId="423D7540" w14:textId="5353E8DA" w:rsidR="003347EF" w:rsidRDefault="000E7588" w:rsidP="00F10C6D">
      <w:pPr>
        <w:pStyle w:val="Lijstalinea"/>
        <w:numPr>
          <w:ilvl w:val="0"/>
          <w:numId w:val="4"/>
        </w:numPr>
        <w:jc w:val="both"/>
      </w:pPr>
      <w:r>
        <w:t>De</w:t>
      </w:r>
      <w:r w:rsidR="00F10C6D">
        <w:t xml:space="preserve"> </w:t>
      </w:r>
      <w:r w:rsidR="001075BF">
        <w:t>locatiekeuze voor de Paulinapolder</w:t>
      </w:r>
      <w:r w:rsidR="00CE15FA">
        <w:t xml:space="preserve"> </w:t>
      </w:r>
      <w:r w:rsidR="001075BF">
        <w:t>te heroverwegen, en bij het alternatievenonderzoek de locatiecombinatie</w:t>
      </w:r>
      <w:r w:rsidR="008E08D4">
        <w:t xml:space="preserve"> converterstations en 380kV hoogspanningsschakelstation</w:t>
      </w:r>
      <w:r w:rsidR="001075BF">
        <w:t xml:space="preserve"> </w:t>
      </w:r>
      <w:r w:rsidR="007708CF">
        <w:t xml:space="preserve">op de </w:t>
      </w:r>
      <w:r w:rsidR="001075BF">
        <w:t>Mosselbanken</w:t>
      </w:r>
      <w:r w:rsidR="008E08D4">
        <w:t xml:space="preserve"> </w:t>
      </w:r>
      <w:r w:rsidR="001075BF">
        <w:t>serieus te betrekken;</w:t>
      </w:r>
    </w:p>
    <w:p w14:paraId="53F9BA67" w14:textId="5861C97E" w:rsidR="00DE43F1" w:rsidRDefault="00DE43F1" w:rsidP="0037554F">
      <w:pPr>
        <w:pStyle w:val="Lijstalinea"/>
        <w:numPr>
          <w:ilvl w:val="1"/>
          <w:numId w:val="4"/>
        </w:numPr>
        <w:jc w:val="both"/>
      </w:pPr>
      <w:r>
        <w:t>k</w:t>
      </w:r>
      <w:r w:rsidRPr="00DE43F1">
        <w:t>abellengte als afwijzingsgrond</w:t>
      </w:r>
      <w:r>
        <w:t xml:space="preserve"> heroverwegen</w:t>
      </w:r>
      <w:r w:rsidR="000D7826">
        <w:t>.</w:t>
      </w:r>
    </w:p>
    <w:p w14:paraId="69C383BF" w14:textId="7DAE9667" w:rsidR="00FC34C8" w:rsidRDefault="000D7826" w:rsidP="0037554F">
      <w:pPr>
        <w:pStyle w:val="Lijstalinea"/>
        <w:numPr>
          <w:ilvl w:val="1"/>
          <w:numId w:val="4"/>
        </w:numPr>
        <w:jc w:val="both"/>
      </w:pPr>
      <w:r w:rsidRPr="000D7826">
        <w:t>passende beoordeling voor de Paulinapoldervarianten in relatie tot het aangrenzende Paulinaschor</w:t>
      </w:r>
      <w:r w:rsidR="00CB29FF">
        <w:t>.</w:t>
      </w:r>
    </w:p>
    <w:p w14:paraId="40E401DB" w14:textId="567FA8A3" w:rsidR="006E6A26" w:rsidRDefault="006E6A26" w:rsidP="0037554F">
      <w:pPr>
        <w:pStyle w:val="Lijstalinea"/>
        <w:numPr>
          <w:ilvl w:val="1"/>
          <w:numId w:val="4"/>
        </w:numPr>
        <w:jc w:val="both"/>
      </w:pPr>
      <w:r w:rsidRPr="006E6A26">
        <w:t>een expliciete belangenafweging</w:t>
      </w:r>
      <w:r w:rsidR="00CB29FF" w:rsidRPr="00CB29FF">
        <w:t xml:space="preserve"> van de betrokken ondernemers</w:t>
      </w:r>
      <w:r w:rsidR="00CB29FF">
        <w:t xml:space="preserve"> in de Paulinapolder.</w:t>
      </w:r>
    </w:p>
    <w:p w14:paraId="441BCAC8" w14:textId="2E34D1D1" w:rsidR="0037554F" w:rsidRDefault="0037554F" w:rsidP="00BC4373">
      <w:pPr>
        <w:pStyle w:val="Lijstalinea"/>
        <w:numPr>
          <w:ilvl w:val="1"/>
          <w:numId w:val="4"/>
        </w:numPr>
        <w:jc w:val="both"/>
      </w:pPr>
      <w:r w:rsidRPr="0037554F">
        <w:t>de cultuurhistorische waarde expliciet te beoordelen.</w:t>
      </w:r>
    </w:p>
    <w:p w14:paraId="4AC7F382" w14:textId="01108626" w:rsidR="003347EF" w:rsidRDefault="003347EF" w:rsidP="005156FB">
      <w:pPr>
        <w:jc w:val="both"/>
      </w:pPr>
    </w:p>
    <w:p w14:paraId="2AAC8991" w14:textId="3A43219F" w:rsidR="000E7588" w:rsidRDefault="000E7588" w:rsidP="000E7588">
      <w:pPr>
        <w:pStyle w:val="Lijstalinea"/>
        <w:numPr>
          <w:ilvl w:val="0"/>
          <w:numId w:val="4"/>
        </w:numPr>
        <w:jc w:val="both"/>
      </w:pPr>
      <w:r>
        <w:t>De</w:t>
      </w:r>
      <w:r w:rsidR="00F10C6D">
        <w:t xml:space="preserve"> </w:t>
      </w:r>
      <w:r w:rsidR="001075BF">
        <w:t>plan-MER aan te vullen met een integrale cumulatieve effectbeoordeling van alle in de Paulinapolder voorziene grootschalige energieprojecten, inclusief de kerncentrale-locatiestudies</w:t>
      </w:r>
      <w:r w:rsidR="008645A2">
        <w:t>.</w:t>
      </w:r>
    </w:p>
    <w:p w14:paraId="1A1B4873" w14:textId="40C35FBA" w:rsidR="008265A2" w:rsidRDefault="008265A2" w:rsidP="00BC4373">
      <w:pPr>
        <w:pStyle w:val="Lijstalinea"/>
        <w:numPr>
          <w:ilvl w:val="1"/>
          <w:numId w:val="4"/>
        </w:numPr>
        <w:jc w:val="both"/>
      </w:pPr>
      <w:r w:rsidRPr="008265A2">
        <w:t xml:space="preserve">De </w:t>
      </w:r>
      <w:r w:rsidR="00AE1F2D">
        <w:t xml:space="preserve">benodigde </w:t>
      </w:r>
      <w:r w:rsidRPr="008265A2">
        <w:t>380kV-</w:t>
      </w:r>
      <w:r w:rsidR="00210B1E">
        <w:t>installaties</w:t>
      </w:r>
      <w:r w:rsidR="00AE1F2D">
        <w:t xml:space="preserve"> en </w:t>
      </w:r>
      <w:r w:rsidR="000E7588">
        <w:t xml:space="preserve">infrastructuur </w:t>
      </w:r>
      <w:r w:rsidR="000E7588" w:rsidRPr="008265A2">
        <w:t>als</w:t>
      </w:r>
      <w:r w:rsidRPr="008265A2">
        <w:t xml:space="preserve"> onlosmakelijk onderdeel van de locatiekeuze</w:t>
      </w:r>
      <w:r>
        <w:t xml:space="preserve"> meewegen.</w:t>
      </w:r>
    </w:p>
    <w:p w14:paraId="650A8742" w14:textId="77777777" w:rsidR="003347EF" w:rsidRDefault="003347EF" w:rsidP="005156FB">
      <w:pPr>
        <w:jc w:val="both"/>
      </w:pPr>
    </w:p>
    <w:p w14:paraId="7C031885" w14:textId="77777777" w:rsidR="000E7588" w:rsidRDefault="000E7588" w:rsidP="005156FB">
      <w:pPr>
        <w:jc w:val="both"/>
      </w:pPr>
    </w:p>
    <w:p w14:paraId="681293C0" w14:textId="77777777" w:rsidR="000E7588" w:rsidRDefault="000E7588" w:rsidP="005156FB">
      <w:pPr>
        <w:jc w:val="both"/>
      </w:pPr>
    </w:p>
    <w:p w14:paraId="5348557B" w14:textId="701E7732" w:rsidR="0099741D" w:rsidRDefault="0099741D" w:rsidP="00AD0F42">
      <w:pPr>
        <w:pStyle w:val="Lijstalinea"/>
        <w:numPr>
          <w:ilvl w:val="0"/>
          <w:numId w:val="4"/>
        </w:numPr>
        <w:jc w:val="both"/>
      </w:pPr>
      <w:r w:rsidRPr="0099741D">
        <w:t xml:space="preserve">Beschikbaar industriegebied in de </w:t>
      </w:r>
      <w:r w:rsidR="00BC4373" w:rsidRPr="0099741D">
        <w:t>Kanaalzones</w:t>
      </w:r>
      <w:r w:rsidRPr="0099741D">
        <w:t xml:space="preserve"> is onvoldoende meegewogen</w:t>
      </w:r>
      <w:r w:rsidR="005621A1">
        <w:t>. In het o</w:t>
      </w:r>
      <w:r w:rsidRPr="0099741D">
        <w:t xml:space="preserve">ntwerpprogramma </w:t>
      </w:r>
      <w:r w:rsidR="005621A1">
        <w:t>dit</w:t>
      </w:r>
      <w:r w:rsidRPr="0099741D">
        <w:t xml:space="preserve"> </w:t>
      </w:r>
      <w:r w:rsidR="00E71042">
        <w:t xml:space="preserve">potentiële industriegebied </w:t>
      </w:r>
      <w:r w:rsidRPr="0099741D">
        <w:t xml:space="preserve">als </w:t>
      </w:r>
      <w:r w:rsidR="001763E3" w:rsidRPr="001763E3">
        <w:t xml:space="preserve">serieus </w:t>
      </w:r>
      <w:r w:rsidRPr="0099741D">
        <w:t>alternatief beoord</w:t>
      </w:r>
      <w:r w:rsidR="005621A1">
        <w:t>elen.</w:t>
      </w:r>
    </w:p>
    <w:p w14:paraId="054526E0" w14:textId="77777777" w:rsidR="003347EF" w:rsidRDefault="003347EF" w:rsidP="0037554F">
      <w:pPr>
        <w:jc w:val="both"/>
      </w:pPr>
    </w:p>
    <w:p w14:paraId="48F118FF" w14:textId="4620052B" w:rsidR="003347EF" w:rsidRDefault="000E7588" w:rsidP="00BC4373">
      <w:pPr>
        <w:pStyle w:val="Lijstalinea"/>
        <w:numPr>
          <w:ilvl w:val="0"/>
          <w:numId w:val="4"/>
        </w:numPr>
        <w:jc w:val="both"/>
      </w:pPr>
      <w:r>
        <w:t>Een</w:t>
      </w:r>
      <w:r w:rsidR="001075BF">
        <w:t xml:space="preserve"> verantwoording op te nemen van de gevolgde participatieprocedure in relatie </w:t>
      </w:r>
      <w:r w:rsidR="004B01BF">
        <w:t xml:space="preserve">tot de </w:t>
      </w:r>
      <w:r w:rsidR="00A4091E" w:rsidRPr="005156FB">
        <w:t>participatienorm</w:t>
      </w:r>
      <w:r w:rsidR="007D4EA1" w:rsidRPr="005156FB">
        <w:t>,</w:t>
      </w:r>
      <w:r w:rsidR="001075BF">
        <w:t xml:space="preserve"> met</w:t>
      </w:r>
      <w:r w:rsidR="0056056E">
        <w:t xml:space="preserve"> daarbij </w:t>
      </w:r>
      <w:r w:rsidR="001075BF">
        <w:t>specifieke aandacht voor de vertegenwoordiging van de meest direct geraakten.</w:t>
      </w:r>
    </w:p>
    <w:p w14:paraId="6458BC43" w14:textId="77777777" w:rsidR="003347EF" w:rsidRDefault="003347EF" w:rsidP="005156FB">
      <w:pPr>
        <w:jc w:val="both"/>
      </w:pPr>
    </w:p>
    <w:p w14:paraId="69BC9A7C" w14:textId="58A284EB" w:rsidR="003347EF" w:rsidRDefault="001075BF" w:rsidP="005156FB">
      <w:pPr>
        <w:jc w:val="both"/>
      </w:pPr>
      <w:r>
        <w:t>De Dorpsraad Biervliet staat achter de energietransitie. Wij vragen uitsluitend dat de locatiekeuze rust op een deugdelijke juridische en planologische basis, en dat de leefomgeving van de inwoners van West</w:t>
      </w:r>
      <w:r w:rsidR="00B9725E">
        <w:t>-</w:t>
      </w:r>
      <w:r>
        <w:t xml:space="preserve">Zeeuws-Vlaanderen een eerlijke en aantoonbare weging heeft gekregen. Niet de afstand tot het windpark is hier doorslaggevend, maar de ruimtelijke logica: grootschalige energie-infrastructuur hoort thuis op </w:t>
      </w:r>
      <w:r w:rsidR="009B3997">
        <w:t xml:space="preserve">een </w:t>
      </w:r>
      <w:r>
        <w:t xml:space="preserve">industriegebied, in de nabijheid van de grootverbruikers, niet in een </w:t>
      </w:r>
      <w:r w:rsidR="009B3997">
        <w:t xml:space="preserve">agrarische </w:t>
      </w:r>
      <w:r>
        <w:t>polder die planologisch, ecologisch en cultuurhistorisch een geheel andere bestemming draagt</w:t>
      </w:r>
      <w:r w:rsidR="00E6430D">
        <w:t xml:space="preserve"> en direct grenst aan een </w:t>
      </w:r>
      <w:r w:rsidR="00271969">
        <w:t>zeer kwetsbaar Natura 2000 gebied.</w:t>
      </w:r>
    </w:p>
    <w:p w14:paraId="53A08AAB" w14:textId="77777777" w:rsidR="002C7729" w:rsidRDefault="002C7729" w:rsidP="005156FB">
      <w:pPr>
        <w:jc w:val="both"/>
      </w:pPr>
    </w:p>
    <w:p w14:paraId="5CAA828B" w14:textId="517FE00D" w:rsidR="00997E26" w:rsidRDefault="00997E26" w:rsidP="00997E26">
      <w:pPr>
        <w:jc w:val="both"/>
      </w:pPr>
      <w:r>
        <w:t>Biervliet 1 juli 2026, hoogachtend namens de</w:t>
      </w:r>
    </w:p>
    <w:p w14:paraId="1C8D62FC" w14:textId="4EB39D38" w:rsidR="003347EF" w:rsidRDefault="001A2A8C" w:rsidP="005156FB">
      <w:pPr>
        <w:jc w:val="both"/>
        <w:rPr>
          <w:b/>
          <w:bCs/>
        </w:rPr>
      </w:pPr>
      <w:r>
        <w:rPr>
          <w:b/>
          <w:bCs/>
        </w:rPr>
        <w:t xml:space="preserve">Stichting </w:t>
      </w:r>
      <w:r w:rsidR="001075BF">
        <w:rPr>
          <w:b/>
          <w:bCs/>
        </w:rPr>
        <w:t>Dorpsraad Biervliet</w:t>
      </w:r>
    </w:p>
    <w:p w14:paraId="64490560" w14:textId="77777777" w:rsidR="00CF76AA" w:rsidRDefault="00CF76AA" w:rsidP="005156FB">
      <w:pPr>
        <w:jc w:val="both"/>
      </w:pPr>
    </w:p>
    <w:p w14:paraId="2AA21EAE" w14:textId="139E0FF4" w:rsidR="00997E26" w:rsidRDefault="00997E26" w:rsidP="00997E26">
      <w:pPr>
        <w:shd w:val="clear" w:color="auto" w:fill="FFFFFF"/>
        <w:textAlignment w:val="baseline"/>
        <w:rPr>
          <w:rFonts w:ascii="Aptos" w:eastAsia="Times New Roman" w:hAnsi="Aptos" w:cs="Times New Roman"/>
          <w:color w:val="000000"/>
        </w:rPr>
      </w:pPr>
    </w:p>
    <w:p w14:paraId="5AE19170" w14:textId="67AA8458" w:rsidR="00997E26" w:rsidRPr="00997E26" w:rsidRDefault="00997E26" w:rsidP="00997E26">
      <w:pPr>
        <w:shd w:val="clear" w:color="auto" w:fill="FFFFFF"/>
        <w:textAlignment w:val="baseline"/>
        <w:rPr>
          <w:rFonts w:ascii="Aptos" w:eastAsia="Times New Roman" w:hAnsi="Aptos" w:cs="Times New Roman"/>
          <w:color w:val="000000"/>
        </w:rPr>
      </w:pPr>
      <w:r w:rsidRPr="00997E26">
        <w:rPr>
          <w:rFonts w:ascii="Aptos" w:eastAsia="Times New Roman" w:hAnsi="Aptos" w:cs="Times New Roman"/>
          <w:color w:val="000000"/>
        </w:rPr>
        <w:t>, penningmeester en interim secretariaat </w:t>
      </w:r>
    </w:p>
    <w:p w14:paraId="1A955812" w14:textId="6EEA3765" w:rsidR="00997E26" w:rsidRPr="00997E26" w:rsidRDefault="00997E26" w:rsidP="00997E26">
      <w:pPr>
        <w:shd w:val="clear" w:color="auto" w:fill="FFFFFF"/>
        <w:textAlignment w:val="baseline"/>
        <w:rPr>
          <w:rFonts w:ascii="Aptos" w:eastAsia="Times New Roman" w:hAnsi="Aptos" w:cs="Times New Roman"/>
          <w:color w:val="000000"/>
        </w:rPr>
      </w:pPr>
      <w:r w:rsidRPr="00997E26">
        <w:rPr>
          <w:rFonts w:ascii="Aptos" w:eastAsia="Times New Roman" w:hAnsi="Aptos" w:cs="Times New Roman"/>
          <w:color w:val="000000"/>
        </w:rPr>
        <w:t>Correspondentieadres </w:t>
      </w:r>
    </w:p>
    <w:p w14:paraId="6E6070F8" w14:textId="77777777" w:rsidR="00997E26" w:rsidRPr="00997E26" w:rsidRDefault="00997E26" w:rsidP="00997E26">
      <w:pPr>
        <w:shd w:val="clear" w:color="auto" w:fill="FFFFFF"/>
        <w:textAlignment w:val="baseline"/>
        <w:rPr>
          <w:rFonts w:ascii="Aptos" w:eastAsia="Times New Roman" w:hAnsi="Aptos" w:cs="Times New Roman"/>
          <w:color w:val="000000"/>
        </w:rPr>
      </w:pPr>
      <w:r w:rsidRPr="00997E26">
        <w:rPr>
          <w:rFonts w:ascii="Aptos" w:eastAsia="Times New Roman" w:hAnsi="Aptos" w:cs="Times New Roman"/>
          <w:color w:val="000000"/>
        </w:rPr>
        <w:t>KvK nummer: </w:t>
      </w:r>
      <w:r w:rsidRPr="00997E26">
        <w:rPr>
          <w:rFonts w:ascii="Aptos" w:eastAsia="Times New Roman" w:hAnsi="Aptos" w:cs="Times New Roman"/>
          <w:color w:val="212121"/>
          <w:bdr w:val="none" w:sz="0" w:space="0" w:color="auto" w:frame="1"/>
        </w:rPr>
        <w:t>22061809</w:t>
      </w:r>
    </w:p>
    <w:p w14:paraId="684B781A" w14:textId="77777777" w:rsidR="003347EF" w:rsidRDefault="003347EF" w:rsidP="005156FB">
      <w:pPr>
        <w:jc w:val="both"/>
      </w:pPr>
    </w:p>
    <w:p w14:paraId="324B76C1" w14:textId="77777777" w:rsidR="003347EF" w:rsidRDefault="001075BF" w:rsidP="005156FB">
      <w:pPr>
        <w:jc w:val="both"/>
        <w:rPr>
          <w:i/>
          <w:iCs/>
          <w:sz w:val="22"/>
          <w:szCs w:val="22"/>
        </w:rPr>
      </w:pPr>
      <w:r>
        <w:rPr>
          <w:i/>
          <w:iCs/>
          <w:sz w:val="22"/>
          <w:szCs w:val="22"/>
        </w:rPr>
        <w:t>Deze zienswijze is ingediend binnen de termijn van het Ontwerpprogramma VAWOZ (zienswijzeperiode tot en met 2 juli 2026). Ingevolge artikel 3.4 Awb jo. 3.12 Wm verzoeken wij om een gemotiveerde reactie in de Nota van Antwoord.</w:t>
      </w:r>
    </w:p>
    <w:p w14:paraId="5CF4C9E2" w14:textId="77777777" w:rsidR="00CF76AA" w:rsidRDefault="00CF76AA" w:rsidP="005156FB">
      <w:pPr>
        <w:jc w:val="both"/>
        <w:rPr>
          <w:i/>
          <w:iCs/>
          <w:sz w:val="22"/>
          <w:szCs w:val="22"/>
        </w:rPr>
      </w:pPr>
    </w:p>
    <w:p w14:paraId="18A1DBEE" w14:textId="77777777" w:rsidR="00CF76AA" w:rsidRDefault="00CF76AA" w:rsidP="005156FB">
      <w:pPr>
        <w:jc w:val="both"/>
      </w:pPr>
    </w:p>
    <w:sectPr w:rsidR="00CF76AA">
      <w:headerReference w:type="default" r:id="rId15"/>
      <w:footerReference w:type="even" r:id="rId16"/>
      <w:footerReference w:type="default" r:id="rId17"/>
      <w:pgSz w:w="11906" w:h="16838"/>
      <w:pgMar w:top="1800" w:right="1800" w:bottom="1800" w:left="180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0" w:author="eric waals" w:date="2026-06-30T23:51:00Z" w:initials="ew">
    <w:p w14:paraId="7CF71FB2" w14:textId="77777777" w:rsidR="00641D52" w:rsidRDefault="000902CB" w:rsidP="00641D52">
      <w:pPr>
        <w:pStyle w:val="Tekstopmerking"/>
      </w:pPr>
      <w:r>
        <w:rPr>
          <w:rStyle w:val="Verwijzingopmerking"/>
        </w:rPr>
        <w:annotationRef/>
      </w:r>
      <w:r w:rsidR="00641D52">
        <w:t xml:space="preserve">Verduidelijken welke studies je precies bedoeld! Plan-MER van welk project?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7CF71FB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0FFB000A" w16cex:dateUtc="2026-06-30T21: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7CF71FB2" w16cid:durableId="0FFB000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EC24EE4" w14:textId="77777777" w:rsidR="00165B4E" w:rsidRDefault="00165B4E" w:rsidP="003260D8">
      <w:r>
        <w:separator/>
      </w:r>
    </w:p>
  </w:endnote>
  <w:endnote w:type="continuationSeparator" w:id="0">
    <w:p w14:paraId="12FDB807" w14:textId="77777777" w:rsidR="00165B4E" w:rsidRDefault="00165B4E" w:rsidP="003260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Verdana">
    <w:panose1 w:val="020B0604030504040204"/>
    <w:charset w:val="00"/>
    <w:family w:val="swiss"/>
    <w:pitch w:val="variable"/>
    <w:sig w:usb0="A10006FF" w:usb1="4000205B" w:usb2="0000001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inanummer"/>
      </w:rPr>
      <w:id w:val="-1169859789"/>
      <w:docPartObj>
        <w:docPartGallery w:val="Page Numbers (Bottom of Page)"/>
        <w:docPartUnique/>
      </w:docPartObj>
    </w:sdtPr>
    <w:sdtContent>
      <w:p w14:paraId="05C27A7C" w14:textId="37DE1047" w:rsidR="00A9094E" w:rsidRDefault="00A9094E">
        <w:pPr>
          <w:pStyle w:val="Voettekst"/>
          <w:framePr w:wrap="none" w:vAnchor="text" w:hAnchor="margin" w:xAlign="right" w:y="1"/>
          <w:jc w:val="right"/>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sdt>
    <w:sdtPr>
      <w:rPr>
        <w:rStyle w:val="Paginanummer"/>
      </w:rPr>
      <w:id w:val="1453983226"/>
      <w:docPartObj>
        <w:docPartGallery w:val="Page Numbers (Bottom of Page)"/>
        <w:docPartUnique/>
      </w:docPartObj>
    </w:sdtPr>
    <w:sdtContent>
      <w:p w14:paraId="21143A8D" w14:textId="2EF29545" w:rsidR="00A9094E" w:rsidRDefault="00A9094E" w:rsidP="00A9094E">
        <w:pPr>
          <w:pStyle w:val="Voettekst"/>
          <w:framePr w:wrap="none" w:vAnchor="text" w:hAnchor="margin" w:xAlign="right" w:y="1"/>
          <w:ind w:right="360"/>
          <w:jc w:val="right"/>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sdt>
    <w:sdtPr>
      <w:rPr>
        <w:rStyle w:val="Paginanummer"/>
      </w:rPr>
      <w:id w:val="-1629627173"/>
      <w:docPartObj>
        <w:docPartGallery w:val="Page Numbers (Bottom of Page)"/>
        <w:docPartUnique/>
      </w:docPartObj>
    </w:sdtPr>
    <w:sdtContent>
      <w:p w14:paraId="1DBAE85F" w14:textId="6301999C" w:rsidR="007343CF" w:rsidRDefault="007343CF" w:rsidP="00A9094E">
        <w:pPr>
          <w:pStyle w:val="Voettekst"/>
          <w:framePr w:wrap="none" w:vAnchor="text" w:hAnchor="margin" w:xAlign="right" w:y="1"/>
          <w:ind w:right="360"/>
          <w:jc w:val="right"/>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742F83E2" w14:textId="77777777" w:rsidR="007343CF" w:rsidRDefault="007343CF" w:rsidP="007343CF">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inanummer"/>
      </w:rPr>
      <w:id w:val="-1416004733"/>
      <w:docPartObj>
        <w:docPartGallery w:val="Page Numbers (Bottom of Page)"/>
        <w:docPartUnique/>
      </w:docPartObj>
    </w:sdtPr>
    <w:sdtContent>
      <w:p w14:paraId="0733BCD6" w14:textId="244D8BAA" w:rsidR="00A9094E" w:rsidRDefault="00A9094E">
        <w:pPr>
          <w:pStyle w:val="Voettekst"/>
          <w:framePr w:wrap="none" w:vAnchor="text" w:hAnchor="margin" w:xAlign="right" w:y="1"/>
          <w:jc w:val="right"/>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5</w:t>
        </w:r>
        <w:r>
          <w:rPr>
            <w:rStyle w:val="Paginanummer"/>
          </w:rPr>
          <w:fldChar w:fldCharType="end"/>
        </w:r>
      </w:p>
    </w:sdtContent>
  </w:sdt>
  <w:p w14:paraId="7640EF4F" w14:textId="77777777" w:rsidR="007343CF" w:rsidRDefault="007343CF" w:rsidP="007343CF">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D3C5424" w14:textId="77777777" w:rsidR="00165B4E" w:rsidRDefault="00165B4E" w:rsidP="003260D8">
      <w:r>
        <w:separator/>
      </w:r>
    </w:p>
  </w:footnote>
  <w:footnote w:type="continuationSeparator" w:id="0">
    <w:p w14:paraId="374E5382" w14:textId="77777777" w:rsidR="00165B4E" w:rsidRDefault="00165B4E" w:rsidP="003260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78B91B9" w14:textId="77777777" w:rsidR="0022305A" w:rsidRPr="00BB6206" w:rsidRDefault="0022305A" w:rsidP="0022305A">
    <w:pPr>
      <w:tabs>
        <w:tab w:val="right" w:pos="9720"/>
      </w:tabs>
      <w:rPr>
        <w:rFonts w:ascii="Verdana" w:eastAsia="Times New Roman" w:hAnsi="Verdana" w:cs="Times New Roman"/>
        <w:b/>
        <w:bCs/>
        <w:color w:val="0000FF"/>
        <w:sz w:val="32"/>
        <w:szCs w:val="32"/>
      </w:rPr>
    </w:pPr>
    <w:r w:rsidRPr="0022305A">
      <w:rPr>
        <w:rFonts w:ascii="Verdana" w:eastAsia="Times New Roman" w:hAnsi="Verdana" w:cs="Times New Roman"/>
        <w:noProof/>
        <w:sz w:val="22"/>
      </w:rPr>
      <w:drawing>
        <wp:anchor distT="0" distB="0" distL="114300" distR="114300" simplePos="0" relativeHeight="251658240" behindDoc="0" locked="0" layoutInCell="1" allowOverlap="0" wp14:anchorId="7B3A67C9" wp14:editId="2DDA794A">
          <wp:simplePos x="0" y="0"/>
          <wp:positionH relativeFrom="column">
            <wp:posOffset>148168</wp:posOffset>
          </wp:positionH>
          <wp:positionV relativeFrom="paragraph">
            <wp:posOffset>66887</wp:posOffset>
          </wp:positionV>
          <wp:extent cx="635000" cy="784174"/>
          <wp:effectExtent l="0" t="0" r="0" b="0"/>
          <wp:wrapNone/>
          <wp:docPr id="12" name="Afbeelding 12" descr="logo w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ogo wi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2847" cy="79386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2305A">
      <w:rPr>
        <w:rFonts w:ascii="Verdana" w:eastAsia="Times New Roman" w:hAnsi="Verdana" w:cs="Times New Roman"/>
        <w:b/>
        <w:bCs/>
        <w:color w:val="0000FF"/>
        <w:sz w:val="40"/>
      </w:rPr>
      <w:tab/>
    </w:r>
    <w:r w:rsidRPr="00BB6206">
      <w:rPr>
        <w:rFonts w:ascii="Verdana" w:eastAsia="Times New Roman" w:hAnsi="Verdana" w:cs="Times New Roman"/>
        <w:b/>
        <w:bCs/>
        <w:color w:val="0000FF"/>
        <w:sz w:val="32"/>
        <w:szCs w:val="32"/>
      </w:rPr>
      <w:t>STICHTING DORPSRAAD BIERVLIET</w:t>
    </w:r>
  </w:p>
  <w:p w14:paraId="606230FC" w14:textId="77777777" w:rsidR="0022305A" w:rsidRPr="0022305A" w:rsidRDefault="0022305A" w:rsidP="0022305A">
    <w:pPr>
      <w:tabs>
        <w:tab w:val="right" w:pos="9720"/>
      </w:tabs>
      <w:rPr>
        <w:rFonts w:ascii="Verdana" w:eastAsia="Times New Roman" w:hAnsi="Verdana" w:cs="Times New Roman"/>
        <w:sz w:val="18"/>
        <w:szCs w:val="18"/>
      </w:rPr>
    </w:pPr>
    <w:r w:rsidRPr="0022305A">
      <w:rPr>
        <w:rFonts w:ascii="Verdana" w:eastAsia="Times New Roman" w:hAnsi="Verdana" w:cs="Times New Roman"/>
        <w:sz w:val="18"/>
      </w:rPr>
      <w:tab/>
      <w:t xml:space="preserve">Secretariaat: </w:t>
    </w:r>
    <w:r w:rsidRPr="0022305A">
      <w:rPr>
        <w:rFonts w:ascii="Verdana" w:eastAsia="Times New Roman" w:hAnsi="Verdana" w:cs="Times New Roman"/>
        <w:sz w:val="18"/>
        <w:szCs w:val="18"/>
      </w:rPr>
      <w:t>Geuzenstraat 8</w:t>
    </w:r>
  </w:p>
  <w:p w14:paraId="31FE1807" w14:textId="77777777" w:rsidR="0022305A" w:rsidRPr="0022305A" w:rsidRDefault="0022305A" w:rsidP="0022305A">
    <w:pPr>
      <w:tabs>
        <w:tab w:val="right" w:pos="9720"/>
      </w:tabs>
      <w:rPr>
        <w:rFonts w:ascii="Verdana" w:eastAsia="Times New Roman" w:hAnsi="Verdana" w:cs="Times New Roman"/>
        <w:sz w:val="18"/>
        <w:szCs w:val="18"/>
      </w:rPr>
    </w:pPr>
    <w:r w:rsidRPr="0022305A">
      <w:rPr>
        <w:rFonts w:ascii="Verdana" w:eastAsia="Times New Roman" w:hAnsi="Verdana" w:cs="Times New Roman"/>
        <w:sz w:val="18"/>
        <w:szCs w:val="18"/>
      </w:rPr>
      <w:tab/>
      <w:t>4521 CC  Biervliet</w:t>
    </w:r>
  </w:p>
  <w:p w14:paraId="3D1AE314" w14:textId="77777777" w:rsidR="0022305A" w:rsidRPr="0022305A" w:rsidRDefault="0022305A" w:rsidP="0022305A">
    <w:pPr>
      <w:tabs>
        <w:tab w:val="right" w:pos="9720"/>
      </w:tabs>
      <w:rPr>
        <w:rFonts w:ascii="Verdana" w:eastAsia="Times New Roman" w:hAnsi="Verdana" w:cs="Times New Roman"/>
        <w:sz w:val="18"/>
        <w:szCs w:val="18"/>
        <w:lang w:val="it-IT"/>
      </w:rPr>
    </w:pPr>
    <w:r w:rsidRPr="0022305A">
      <w:rPr>
        <w:rFonts w:ascii="Verdana" w:eastAsia="Times New Roman" w:hAnsi="Verdana" w:cs="Times New Roman"/>
        <w:sz w:val="18"/>
        <w:szCs w:val="18"/>
        <w:lang w:val="it-IT"/>
      </w:rPr>
      <w:tab/>
      <w:t>dorpsraadbiervliet@outlook.com</w:t>
    </w:r>
  </w:p>
  <w:p w14:paraId="4B865367" w14:textId="77777777" w:rsidR="0022305A" w:rsidRPr="0022305A" w:rsidRDefault="0022305A" w:rsidP="0022305A">
    <w:pPr>
      <w:tabs>
        <w:tab w:val="right" w:pos="9720"/>
      </w:tabs>
      <w:rPr>
        <w:rFonts w:ascii="Verdana" w:eastAsia="Times New Roman" w:hAnsi="Verdana" w:cs="Times New Roman"/>
        <w:sz w:val="18"/>
        <w:szCs w:val="18"/>
        <w:lang w:val="it-IT"/>
      </w:rPr>
    </w:pPr>
    <w:r w:rsidRPr="0022305A">
      <w:rPr>
        <w:rFonts w:ascii="Verdana" w:eastAsia="Times New Roman" w:hAnsi="Verdana" w:cs="Times New Roman"/>
        <w:sz w:val="18"/>
        <w:szCs w:val="18"/>
        <w:lang w:val="it-IT"/>
      </w:rPr>
      <w:tab/>
      <w:t>kvk reg.no: 22061809</w:t>
    </w:r>
  </w:p>
  <w:p w14:paraId="44099409" w14:textId="77777777" w:rsidR="0022305A" w:rsidRDefault="002230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08A0842"/>
    <w:multiLevelType w:val="hybridMultilevel"/>
    <w:tmpl w:val="FFFFFFFF"/>
    <w:lvl w:ilvl="0" w:tplc="FF6C8B7A">
      <w:start w:val="1"/>
      <w:numFmt w:val="bullet"/>
      <w:lvlText w:val="●"/>
      <w:lvlJc w:val="left"/>
      <w:pPr>
        <w:ind w:left="720" w:hanging="360"/>
      </w:pPr>
    </w:lvl>
    <w:lvl w:ilvl="1" w:tplc="5B44D172">
      <w:start w:val="1"/>
      <w:numFmt w:val="bullet"/>
      <w:lvlText w:val="○"/>
      <w:lvlJc w:val="left"/>
      <w:pPr>
        <w:ind w:left="1440" w:hanging="360"/>
      </w:pPr>
    </w:lvl>
    <w:lvl w:ilvl="2" w:tplc="B6C077AC">
      <w:start w:val="1"/>
      <w:numFmt w:val="bullet"/>
      <w:lvlText w:val="■"/>
      <w:lvlJc w:val="left"/>
      <w:pPr>
        <w:ind w:left="2160" w:hanging="360"/>
      </w:pPr>
    </w:lvl>
    <w:lvl w:ilvl="3" w:tplc="A0AEAE0A">
      <w:start w:val="1"/>
      <w:numFmt w:val="bullet"/>
      <w:lvlText w:val="●"/>
      <w:lvlJc w:val="left"/>
      <w:pPr>
        <w:ind w:left="2880" w:hanging="360"/>
      </w:pPr>
    </w:lvl>
    <w:lvl w:ilvl="4" w:tplc="49EC554E">
      <w:start w:val="1"/>
      <w:numFmt w:val="bullet"/>
      <w:lvlText w:val="○"/>
      <w:lvlJc w:val="left"/>
      <w:pPr>
        <w:ind w:left="3600" w:hanging="360"/>
      </w:pPr>
    </w:lvl>
    <w:lvl w:ilvl="5" w:tplc="F986521A">
      <w:start w:val="1"/>
      <w:numFmt w:val="bullet"/>
      <w:lvlText w:val="■"/>
      <w:lvlJc w:val="left"/>
      <w:pPr>
        <w:ind w:left="4320" w:hanging="360"/>
      </w:pPr>
    </w:lvl>
    <w:lvl w:ilvl="6" w:tplc="1C6CBE5E">
      <w:start w:val="1"/>
      <w:numFmt w:val="bullet"/>
      <w:lvlText w:val="●"/>
      <w:lvlJc w:val="left"/>
      <w:pPr>
        <w:ind w:left="5040" w:hanging="360"/>
      </w:pPr>
    </w:lvl>
    <w:lvl w:ilvl="7" w:tplc="D5548600">
      <w:start w:val="1"/>
      <w:numFmt w:val="bullet"/>
      <w:lvlText w:val="●"/>
      <w:lvlJc w:val="left"/>
      <w:pPr>
        <w:ind w:left="5760" w:hanging="360"/>
      </w:pPr>
    </w:lvl>
    <w:lvl w:ilvl="8" w:tplc="3A6C9306">
      <w:start w:val="1"/>
      <w:numFmt w:val="bullet"/>
      <w:lvlText w:val="●"/>
      <w:lvlJc w:val="left"/>
      <w:pPr>
        <w:ind w:left="6480" w:hanging="360"/>
      </w:pPr>
    </w:lvl>
  </w:abstractNum>
  <w:abstractNum w:abstractNumId="1" w15:restartNumberingAfterBreak="0">
    <w:nsid w:val="3B4C1C38"/>
    <w:multiLevelType w:val="hybridMultilevel"/>
    <w:tmpl w:val="8D5A55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2D46A8"/>
    <w:multiLevelType w:val="hybridMultilevel"/>
    <w:tmpl w:val="4E581F7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0FB1CCF"/>
    <w:multiLevelType w:val="hybridMultilevel"/>
    <w:tmpl w:val="CF686C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91269487">
    <w:abstractNumId w:val="0"/>
    <w:lvlOverride w:ilvl="0">
      <w:startOverride w:val="1"/>
    </w:lvlOverride>
  </w:num>
  <w:num w:numId="2" w16cid:durableId="264726379">
    <w:abstractNumId w:val="1"/>
  </w:num>
  <w:num w:numId="3" w16cid:durableId="1599168142">
    <w:abstractNumId w:val="2"/>
  </w:num>
  <w:num w:numId="4" w16cid:durableId="618800792">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eric waals">
    <w15:presenceInfo w15:providerId="Windows Live" w15:userId="01786ae7d72c9531"/>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3"/>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7EF"/>
    <w:rsid w:val="000137AE"/>
    <w:rsid w:val="000246C2"/>
    <w:rsid w:val="00027458"/>
    <w:rsid w:val="00035D42"/>
    <w:rsid w:val="0003755A"/>
    <w:rsid w:val="00045B1B"/>
    <w:rsid w:val="00047608"/>
    <w:rsid w:val="0005424D"/>
    <w:rsid w:val="00063472"/>
    <w:rsid w:val="00064829"/>
    <w:rsid w:val="0006602B"/>
    <w:rsid w:val="000707E9"/>
    <w:rsid w:val="000902CB"/>
    <w:rsid w:val="00090E9E"/>
    <w:rsid w:val="000A0C04"/>
    <w:rsid w:val="000A20DF"/>
    <w:rsid w:val="000A3723"/>
    <w:rsid w:val="000A4226"/>
    <w:rsid w:val="000A430E"/>
    <w:rsid w:val="000B6532"/>
    <w:rsid w:val="000C1BC4"/>
    <w:rsid w:val="000C7943"/>
    <w:rsid w:val="000D7826"/>
    <w:rsid w:val="000E3CA0"/>
    <w:rsid w:val="000E7588"/>
    <w:rsid w:val="000F19B4"/>
    <w:rsid w:val="000F251E"/>
    <w:rsid w:val="000F2B80"/>
    <w:rsid w:val="000F3BA6"/>
    <w:rsid w:val="001066BE"/>
    <w:rsid w:val="001075BF"/>
    <w:rsid w:val="00116D1C"/>
    <w:rsid w:val="00134EF6"/>
    <w:rsid w:val="00137B8A"/>
    <w:rsid w:val="0014013B"/>
    <w:rsid w:val="0014106E"/>
    <w:rsid w:val="00150988"/>
    <w:rsid w:val="001650CB"/>
    <w:rsid w:val="00165B4E"/>
    <w:rsid w:val="001720AA"/>
    <w:rsid w:val="001763E3"/>
    <w:rsid w:val="001809C7"/>
    <w:rsid w:val="00182207"/>
    <w:rsid w:val="00182CA7"/>
    <w:rsid w:val="00184B51"/>
    <w:rsid w:val="0018637F"/>
    <w:rsid w:val="001A2A8C"/>
    <w:rsid w:val="001B6FF9"/>
    <w:rsid w:val="001C74F0"/>
    <w:rsid w:val="001D741B"/>
    <w:rsid w:val="001F2CA7"/>
    <w:rsid w:val="001F3A66"/>
    <w:rsid w:val="001F5B45"/>
    <w:rsid w:val="00200048"/>
    <w:rsid w:val="00210B1E"/>
    <w:rsid w:val="0022305A"/>
    <w:rsid w:val="002231D1"/>
    <w:rsid w:val="00226CC7"/>
    <w:rsid w:val="0023188F"/>
    <w:rsid w:val="00235B45"/>
    <w:rsid w:val="00253FB0"/>
    <w:rsid w:val="0025420A"/>
    <w:rsid w:val="00257CF5"/>
    <w:rsid w:val="00266717"/>
    <w:rsid w:val="00271969"/>
    <w:rsid w:val="00275CAC"/>
    <w:rsid w:val="0029416F"/>
    <w:rsid w:val="00297E3C"/>
    <w:rsid w:val="002A4292"/>
    <w:rsid w:val="002C7729"/>
    <w:rsid w:val="002D6386"/>
    <w:rsid w:val="002E0EB1"/>
    <w:rsid w:val="002E1E18"/>
    <w:rsid w:val="002E1F73"/>
    <w:rsid w:val="002E5184"/>
    <w:rsid w:val="002E753F"/>
    <w:rsid w:val="003008C0"/>
    <w:rsid w:val="00310A9F"/>
    <w:rsid w:val="0031754C"/>
    <w:rsid w:val="00320747"/>
    <w:rsid w:val="003260D8"/>
    <w:rsid w:val="003264EB"/>
    <w:rsid w:val="00333480"/>
    <w:rsid w:val="003347EF"/>
    <w:rsid w:val="0034566A"/>
    <w:rsid w:val="003477FC"/>
    <w:rsid w:val="00354DA4"/>
    <w:rsid w:val="00360077"/>
    <w:rsid w:val="003622A5"/>
    <w:rsid w:val="00363B3D"/>
    <w:rsid w:val="00371F0D"/>
    <w:rsid w:val="00372CBF"/>
    <w:rsid w:val="0037554F"/>
    <w:rsid w:val="00382972"/>
    <w:rsid w:val="003A4408"/>
    <w:rsid w:val="003E4833"/>
    <w:rsid w:val="00416B6E"/>
    <w:rsid w:val="00440C09"/>
    <w:rsid w:val="00452E93"/>
    <w:rsid w:val="00463F47"/>
    <w:rsid w:val="004837AF"/>
    <w:rsid w:val="0048386A"/>
    <w:rsid w:val="00493691"/>
    <w:rsid w:val="0049371C"/>
    <w:rsid w:val="004A0D02"/>
    <w:rsid w:val="004A249E"/>
    <w:rsid w:val="004B01BF"/>
    <w:rsid w:val="004B695A"/>
    <w:rsid w:val="004C28D7"/>
    <w:rsid w:val="004C3A81"/>
    <w:rsid w:val="004C60D0"/>
    <w:rsid w:val="004D057E"/>
    <w:rsid w:val="00501E0A"/>
    <w:rsid w:val="005156FB"/>
    <w:rsid w:val="00516772"/>
    <w:rsid w:val="00526079"/>
    <w:rsid w:val="00532469"/>
    <w:rsid w:val="0053390D"/>
    <w:rsid w:val="0054491B"/>
    <w:rsid w:val="00547DC7"/>
    <w:rsid w:val="0056056E"/>
    <w:rsid w:val="00561D00"/>
    <w:rsid w:val="005621A1"/>
    <w:rsid w:val="00565CB8"/>
    <w:rsid w:val="00570CCD"/>
    <w:rsid w:val="00571059"/>
    <w:rsid w:val="00573B5A"/>
    <w:rsid w:val="00575564"/>
    <w:rsid w:val="005761F8"/>
    <w:rsid w:val="00593588"/>
    <w:rsid w:val="005A4614"/>
    <w:rsid w:val="005B2001"/>
    <w:rsid w:val="005C4C1D"/>
    <w:rsid w:val="005E3A3A"/>
    <w:rsid w:val="005F282C"/>
    <w:rsid w:val="00604ACC"/>
    <w:rsid w:val="00606103"/>
    <w:rsid w:val="00606F5C"/>
    <w:rsid w:val="00616BD7"/>
    <w:rsid w:val="00622E98"/>
    <w:rsid w:val="00627D93"/>
    <w:rsid w:val="00636649"/>
    <w:rsid w:val="00636A6A"/>
    <w:rsid w:val="00640DE9"/>
    <w:rsid w:val="00641D52"/>
    <w:rsid w:val="00643AC2"/>
    <w:rsid w:val="00652083"/>
    <w:rsid w:val="00655EC1"/>
    <w:rsid w:val="00656AF0"/>
    <w:rsid w:val="006635F9"/>
    <w:rsid w:val="0066441C"/>
    <w:rsid w:val="00665290"/>
    <w:rsid w:val="006725D7"/>
    <w:rsid w:val="00672B56"/>
    <w:rsid w:val="006767A1"/>
    <w:rsid w:val="0068072A"/>
    <w:rsid w:val="00684D5A"/>
    <w:rsid w:val="006956F7"/>
    <w:rsid w:val="006975CF"/>
    <w:rsid w:val="006979E6"/>
    <w:rsid w:val="006B3514"/>
    <w:rsid w:val="006B7159"/>
    <w:rsid w:val="006E6A26"/>
    <w:rsid w:val="006F033E"/>
    <w:rsid w:val="006F3630"/>
    <w:rsid w:val="006F3AE8"/>
    <w:rsid w:val="00731A0F"/>
    <w:rsid w:val="007343CF"/>
    <w:rsid w:val="0073527B"/>
    <w:rsid w:val="00735461"/>
    <w:rsid w:val="007360B9"/>
    <w:rsid w:val="00757F13"/>
    <w:rsid w:val="00762D7A"/>
    <w:rsid w:val="0076689E"/>
    <w:rsid w:val="007702E4"/>
    <w:rsid w:val="007708CF"/>
    <w:rsid w:val="00772D94"/>
    <w:rsid w:val="00786281"/>
    <w:rsid w:val="0079416E"/>
    <w:rsid w:val="00794F7B"/>
    <w:rsid w:val="007C117A"/>
    <w:rsid w:val="007D4EA1"/>
    <w:rsid w:val="007E0AE4"/>
    <w:rsid w:val="007E2094"/>
    <w:rsid w:val="007E34EB"/>
    <w:rsid w:val="007E5669"/>
    <w:rsid w:val="007E598C"/>
    <w:rsid w:val="007F045D"/>
    <w:rsid w:val="007F5DAB"/>
    <w:rsid w:val="00801F7A"/>
    <w:rsid w:val="008032AE"/>
    <w:rsid w:val="00817AF3"/>
    <w:rsid w:val="00820F56"/>
    <w:rsid w:val="00824ABE"/>
    <w:rsid w:val="008265A2"/>
    <w:rsid w:val="00843763"/>
    <w:rsid w:val="00845F25"/>
    <w:rsid w:val="00853F13"/>
    <w:rsid w:val="00857FFA"/>
    <w:rsid w:val="008607DF"/>
    <w:rsid w:val="00861C36"/>
    <w:rsid w:val="008645A2"/>
    <w:rsid w:val="00871BF5"/>
    <w:rsid w:val="008766F6"/>
    <w:rsid w:val="00886126"/>
    <w:rsid w:val="00896EDF"/>
    <w:rsid w:val="00897606"/>
    <w:rsid w:val="008A13B6"/>
    <w:rsid w:val="008A53ED"/>
    <w:rsid w:val="008B18EA"/>
    <w:rsid w:val="008E08D4"/>
    <w:rsid w:val="008E68CE"/>
    <w:rsid w:val="0090183C"/>
    <w:rsid w:val="009158A9"/>
    <w:rsid w:val="00923599"/>
    <w:rsid w:val="00931D6A"/>
    <w:rsid w:val="00932670"/>
    <w:rsid w:val="0093502A"/>
    <w:rsid w:val="009445D6"/>
    <w:rsid w:val="00950F9E"/>
    <w:rsid w:val="00954AFA"/>
    <w:rsid w:val="009679E9"/>
    <w:rsid w:val="009714CF"/>
    <w:rsid w:val="009737E6"/>
    <w:rsid w:val="00973B9A"/>
    <w:rsid w:val="0099741D"/>
    <w:rsid w:val="00997E26"/>
    <w:rsid w:val="009B3997"/>
    <w:rsid w:val="009B7BE5"/>
    <w:rsid w:val="009E1635"/>
    <w:rsid w:val="009E7C9B"/>
    <w:rsid w:val="00A22F3D"/>
    <w:rsid w:val="00A2573F"/>
    <w:rsid w:val="00A264DB"/>
    <w:rsid w:val="00A32379"/>
    <w:rsid w:val="00A32EEB"/>
    <w:rsid w:val="00A344AE"/>
    <w:rsid w:val="00A3539F"/>
    <w:rsid w:val="00A4091E"/>
    <w:rsid w:val="00A45A31"/>
    <w:rsid w:val="00A46D16"/>
    <w:rsid w:val="00A5427D"/>
    <w:rsid w:val="00A55568"/>
    <w:rsid w:val="00A562B7"/>
    <w:rsid w:val="00A661B0"/>
    <w:rsid w:val="00A70185"/>
    <w:rsid w:val="00A71640"/>
    <w:rsid w:val="00A75CB0"/>
    <w:rsid w:val="00A9094E"/>
    <w:rsid w:val="00A9627A"/>
    <w:rsid w:val="00AB22F4"/>
    <w:rsid w:val="00AC12F2"/>
    <w:rsid w:val="00AC7F58"/>
    <w:rsid w:val="00AD0F42"/>
    <w:rsid w:val="00AD3F68"/>
    <w:rsid w:val="00AE1046"/>
    <w:rsid w:val="00AE1D3D"/>
    <w:rsid w:val="00AE1F2D"/>
    <w:rsid w:val="00AE7CEA"/>
    <w:rsid w:val="00AF1FDB"/>
    <w:rsid w:val="00AF3246"/>
    <w:rsid w:val="00AF62BC"/>
    <w:rsid w:val="00B011F9"/>
    <w:rsid w:val="00B06EC5"/>
    <w:rsid w:val="00B07658"/>
    <w:rsid w:val="00B141F2"/>
    <w:rsid w:val="00B176E9"/>
    <w:rsid w:val="00B43502"/>
    <w:rsid w:val="00B43EFE"/>
    <w:rsid w:val="00B46303"/>
    <w:rsid w:val="00B65D3C"/>
    <w:rsid w:val="00B70675"/>
    <w:rsid w:val="00B8610D"/>
    <w:rsid w:val="00B86771"/>
    <w:rsid w:val="00B93B77"/>
    <w:rsid w:val="00B9725E"/>
    <w:rsid w:val="00B97B12"/>
    <w:rsid w:val="00BA6E01"/>
    <w:rsid w:val="00BA6E82"/>
    <w:rsid w:val="00BA745A"/>
    <w:rsid w:val="00BB23BB"/>
    <w:rsid w:val="00BB3911"/>
    <w:rsid w:val="00BB5906"/>
    <w:rsid w:val="00BB6206"/>
    <w:rsid w:val="00BB71FB"/>
    <w:rsid w:val="00BB73C4"/>
    <w:rsid w:val="00BC4373"/>
    <w:rsid w:val="00BE26F1"/>
    <w:rsid w:val="00BF0A48"/>
    <w:rsid w:val="00BF522C"/>
    <w:rsid w:val="00BF6619"/>
    <w:rsid w:val="00C15370"/>
    <w:rsid w:val="00C1572E"/>
    <w:rsid w:val="00C24860"/>
    <w:rsid w:val="00C27E61"/>
    <w:rsid w:val="00C37D83"/>
    <w:rsid w:val="00C516C3"/>
    <w:rsid w:val="00C55275"/>
    <w:rsid w:val="00C62B4B"/>
    <w:rsid w:val="00C648E7"/>
    <w:rsid w:val="00C6616D"/>
    <w:rsid w:val="00C74416"/>
    <w:rsid w:val="00C9292A"/>
    <w:rsid w:val="00C93E58"/>
    <w:rsid w:val="00C95AF0"/>
    <w:rsid w:val="00CB29FF"/>
    <w:rsid w:val="00CC1037"/>
    <w:rsid w:val="00CD117D"/>
    <w:rsid w:val="00CE15FA"/>
    <w:rsid w:val="00CE1DF7"/>
    <w:rsid w:val="00CF6E61"/>
    <w:rsid w:val="00CF76AA"/>
    <w:rsid w:val="00D002BA"/>
    <w:rsid w:val="00D074C0"/>
    <w:rsid w:val="00D163D5"/>
    <w:rsid w:val="00D1738B"/>
    <w:rsid w:val="00D17F51"/>
    <w:rsid w:val="00D200F7"/>
    <w:rsid w:val="00D323A3"/>
    <w:rsid w:val="00D447D6"/>
    <w:rsid w:val="00D55364"/>
    <w:rsid w:val="00D62123"/>
    <w:rsid w:val="00D63BD6"/>
    <w:rsid w:val="00D66910"/>
    <w:rsid w:val="00D72FD7"/>
    <w:rsid w:val="00D76232"/>
    <w:rsid w:val="00D77615"/>
    <w:rsid w:val="00D87C25"/>
    <w:rsid w:val="00D93B08"/>
    <w:rsid w:val="00DB3E0A"/>
    <w:rsid w:val="00DC7AF0"/>
    <w:rsid w:val="00DD22CA"/>
    <w:rsid w:val="00DE43F1"/>
    <w:rsid w:val="00DF47B6"/>
    <w:rsid w:val="00E01B7B"/>
    <w:rsid w:val="00E1545D"/>
    <w:rsid w:val="00E21C41"/>
    <w:rsid w:val="00E236D2"/>
    <w:rsid w:val="00E406C4"/>
    <w:rsid w:val="00E458C9"/>
    <w:rsid w:val="00E55C44"/>
    <w:rsid w:val="00E63EF0"/>
    <w:rsid w:val="00E6430D"/>
    <w:rsid w:val="00E71042"/>
    <w:rsid w:val="00E72699"/>
    <w:rsid w:val="00E92FC2"/>
    <w:rsid w:val="00EB0E93"/>
    <w:rsid w:val="00ED5234"/>
    <w:rsid w:val="00EE1D1A"/>
    <w:rsid w:val="00EF1671"/>
    <w:rsid w:val="00F00CEC"/>
    <w:rsid w:val="00F02D59"/>
    <w:rsid w:val="00F04246"/>
    <w:rsid w:val="00F07424"/>
    <w:rsid w:val="00F10C6D"/>
    <w:rsid w:val="00F228B8"/>
    <w:rsid w:val="00F46D28"/>
    <w:rsid w:val="00F60D68"/>
    <w:rsid w:val="00F816CD"/>
    <w:rsid w:val="00F85B92"/>
    <w:rsid w:val="00F93F7A"/>
    <w:rsid w:val="00F974D5"/>
    <w:rsid w:val="00FA1537"/>
    <w:rsid w:val="00FA775B"/>
    <w:rsid w:val="00FB058C"/>
    <w:rsid w:val="00FB1978"/>
    <w:rsid w:val="00FC318F"/>
    <w:rsid w:val="00FC34C8"/>
    <w:rsid w:val="00FC6A81"/>
    <w:rsid w:val="00FD29A2"/>
    <w:rsid w:val="00FD3CF0"/>
    <w:rsid w:val="00FF1AB9"/>
    <w:rsid w:val="1F7EE4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BFAFE"/>
  <w15:docId w15:val="{1E67C3C3-784C-4600-BE62-0E199090D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uiPriority w:val="9"/>
    <w:qFormat/>
    <w:pPr>
      <w:spacing w:before="320" w:after="120"/>
      <w:outlineLvl w:val="0"/>
    </w:pPr>
    <w:rPr>
      <w:b/>
      <w:bCs/>
      <w:color w:val="1A1A1A"/>
      <w:sz w:val="26"/>
      <w:szCs w:val="26"/>
    </w:rPr>
  </w:style>
  <w:style w:type="paragraph" w:styleId="Kop2">
    <w:name w:val="heading 2"/>
    <w:uiPriority w:val="9"/>
    <w:semiHidden/>
    <w:unhideWhenUsed/>
    <w:qFormat/>
    <w:pPr>
      <w:spacing w:before="240" w:after="80"/>
      <w:outlineLvl w:val="1"/>
    </w:pPr>
    <w:rPr>
      <w:b/>
      <w:bCs/>
      <w:color w:val="1A1A1A"/>
    </w:rPr>
  </w:style>
  <w:style w:type="paragraph" w:styleId="Kop3">
    <w:name w:val="heading 3"/>
    <w:uiPriority w:val="9"/>
    <w:semiHidden/>
    <w:unhideWhenUsed/>
    <w:qFormat/>
    <w:pPr>
      <w:outlineLvl w:val="2"/>
    </w:pPr>
    <w:rPr>
      <w:color w:val="1F4D78"/>
    </w:rPr>
  </w:style>
  <w:style w:type="paragraph" w:styleId="Kop4">
    <w:name w:val="heading 4"/>
    <w:uiPriority w:val="9"/>
    <w:semiHidden/>
    <w:unhideWhenUsed/>
    <w:qFormat/>
    <w:pPr>
      <w:outlineLvl w:val="3"/>
    </w:pPr>
    <w:rPr>
      <w:i/>
      <w:iCs/>
      <w:color w:val="2E74B5"/>
    </w:rPr>
  </w:style>
  <w:style w:type="paragraph" w:styleId="Kop5">
    <w:name w:val="heading 5"/>
    <w:uiPriority w:val="9"/>
    <w:semiHidden/>
    <w:unhideWhenUsed/>
    <w:qFormat/>
    <w:pPr>
      <w:outlineLvl w:val="4"/>
    </w:pPr>
    <w:rPr>
      <w:color w:val="2E74B5"/>
    </w:rPr>
  </w:style>
  <w:style w:type="paragraph" w:styleId="Kop6">
    <w:name w:val="heading 6"/>
    <w:uiPriority w:val="9"/>
    <w:semiHidden/>
    <w:unhideWhenUsed/>
    <w:qFormat/>
    <w:pPr>
      <w:outlineLvl w:val="5"/>
    </w:pPr>
    <w:rPr>
      <w:color w:val="1F4D7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uiPriority w:val="10"/>
    <w:qFormat/>
    <w:rPr>
      <w:sz w:val="56"/>
      <w:szCs w:val="56"/>
    </w:rPr>
  </w:style>
  <w:style w:type="paragraph" w:customStyle="1" w:styleId="Zwaar1">
    <w:name w:val="Zwaar1"/>
    <w:qFormat/>
    <w:rPr>
      <w:b/>
      <w:bCs/>
    </w:rPr>
  </w:style>
  <w:style w:type="paragraph" w:styleId="Lijstalinea">
    <w:name w:val="List Paragraph"/>
    <w:qFormat/>
  </w:style>
  <w:style w:type="character" w:styleId="Hyperlink">
    <w:name w:val="Hyperlink"/>
    <w:uiPriority w:val="99"/>
    <w:unhideWhenUsed/>
    <w:rPr>
      <w:color w:val="0563C1"/>
      <w:u w:val="single"/>
    </w:rPr>
  </w:style>
  <w:style w:type="character" w:styleId="Voetnootmarkering">
    <w:name w:val="footnote reference"/>
    <w:uiPriority w:val="99"/>
    <w:semiHidden/>
    <w:unhideWhenUsed/>
    <w:rPr>
      <w:vertAlign w:val="superscript"/>
    </w:rPr>
  </w:style>
  <w:style w:type="paragraph" w:styleId="Voetnoottekst">
    <w:name w:val="footnote text"/>
    <w:link w:val="VoetnoottekstChar"/>
    <w:uiPriority w:val="99"/>
    <w:semiHidden/>
    <w:unhideWhenUsed/>
    <w:rPr>
      <w:sz w:val="20"/>
      <w:szCs w:val="20"/>
    </w:rPr>
  </w:style>
  <w:style w:type="character" w:customStyle="1" w:styleId="VoetnoottekstChar">
    <w:name w:val="Voetnoottekst Char"/>
    <w:link w:val="Voetnoottekst"/>
    <w:uiPriority w:val="99"/>
    <w:semiHidden/>
    <w:unhideWhenUsed/>
    <w:rPr>
      <w:sz w:val="20"/>
      <w:szCs w:val="20"/>
    </w:rPr>
  </w:style>
  <w:style w:type="character" w:styleId="Eindnootmarkering">
    <w:name w:val="endnote reference"/>
    <w:uiPriority w:val="99"/>
    <w:semiHidden/>
    <w:unhideWhenUsed/>
    <w:rPr>
      <w:vertAlign w:val="superscript"/>
    </w:rPr>
  </w:style>
  <w:style w:type="paragraph" w:styleId="Eindnoottekst">
    <w:name w:val="endnote text"/>
    <w:link w:val="EindnoottekstChar"/>
    <w:uiPriority w:val="99"/>
    <w:semiHidden/>
    <w:unhideWhenUsed/>
    <w:rPr>
      <w:sz w:val="20"/>
      <w:szCs w:val="20"/>
    </w:rPr>
  </w:style>
  <w:style w:type="character" w:customStyle="1" w:styleId="EindnoottekstChar">
    <w:name w:val="Eindnoottekst Char"/>
    <w:link w:val="Eindnoottekst"/>
    <w:uiPriority w:val="99"/>
    <w:semiHidden/>
    <w:unhideWhenUsed/>
    <w:rPr>
      <w:sz w:val="20"/>
      <w:szCs w:val="20"/>
    </w:rPr>
  </w:style>
  <w:style w:type="paragraph" w:styleId="Koptekst">
    <w:name w:val="header"/>
    <w:basedOn w:val="Standaard"/>
    <w:link w:val="KoptekstChar"/>
    <w:uiPriority w:val="99"/>
    <w:unhideWhenUsed/>
    <w:rsid w:val="003260D8"/>
    <w:pPr>
      <w:tabs>
        <w:tab w:val="center" w:pos="4536"/>
        <w:tab w:val="right" w:pos="9072"/>
      </w:tabs>
    </w:pPr>
  </w:style>
  <w:style w:type="character" w:customStyle="1" w:styleId="KoptekstChar">
    <w:name w:val="Koptekst Char"/>
    <w:basedOn w:val="Standaardalinea-lettertype"/>
    <w:link w:val="Koptekst"/>
    <w:uiPriority w:val="99"/>
    <w:rsid w:val="003260D8"/>
  </w:style>
  <w:style w:type="paragraph" w:styleId="Voettekst">
    <w:name w:val="footer"/>
    <w:basedOn w:val="Standaard"/>
    <w:link w:val="VoettekstChar"/>
    <w:uiPriority w:val="99"/>
    <w:unhideWhenUsed/>
    <w:rsid w:val="003260D8"/>
    <w:pPr>
      <w:tabs>
        <w:tab w:val="center" w:pos="4536"/>
        <w:tab w:val="right" w:pos="9072"/>
      </w:tabs>
    </w:pPr>
  </w:style>
  <w:style w:type="character" w:customStyle="1" w:styleId="VoettekstChar">
    <w:name w:val="Voettekst Char"/>
    <w:basedOn w:val="Standaardalinea-lettertype"/>
    <w:link w:val="Voettekst"/>
    <w:uiPriority w:val="99"/>
    <w:rsid w:val="003260D8"/>
  </w:style>
  <w:style w:type="character" w:styleId="Paginanummer">
    <w:name w:val="page number"/>
    <w:basedOn w:val="Standaardalinea-lettertype"/>
    <w:uiPriority w:val="99"/>
    <w:semiHidden/>
    <w:unhideWhenUsed/>
    <w:rsid w:val="007343CF"/>
  </w:style>
  <w:style w:type="character" w:customStyle="1" w:styleId="apple-converted-space">
    <w:name w:val="apple-converted-space"/>
    <w:basedOn w:val="Standaardalinea-lettertype"/>
    <w:rsid w:val="00E21C41"/>
  </w:style>
  <w:style w:type="paragraph" w:styleId="Revisie">
    <w:name w:val="Revision"/>
    <w:hidden/>
    <w:uiPriority w:val="99"/>
    <w:semiHidden/>
    <w:rsid w:val="00354DA4"/>
  </w:style>
  <w:style w:type="character" w:styleId="Verwijzingopmerking">
    <w:name w:val="annotation reference"/>
    <w:basedOn w:val="Standaardalinea-lettertype"/>
    <w:uiPriority w:val="99"/>
    <w:semiHidden/>
    <w:unhideWhenUsed/>
    <w:rsid w:val="000C1BC4"/>
    <w:rPr>
      <w:sz w:val="16"/>
      <w:szCs w:val="16"/>
    </w:rPr>
  </w:style>
  <w:style w:type="paragraph" w:styleId="Tekstopmerking">
    <w:name w:val="annotation text"/>
    <w:basedOn w:val="Standaard"/>
    <w:link w:val="TekstopmerkingChar"/>
    <w:uiPriority w:val="99"/>
    <w:unhideWhenUsed/>
    <w:rsid w:val="000C1BC4"/>
    <w:rPr>
      <w:sz w:val="20"/>
      <w:szCs w:val="20"/>
    </w:rPr>
  </w:style>
  <w:style w:type="character" w:customStyle="1" w:styleId="TekstopmerkingChar">
    <w:name w:val="Tekst opmerking Char"/>
    <w:basedOn w:val="Standaardalinea-lettertype"/>
    <w:link w:val="Tekstopmerking"/>
    <w:uiPriority w:val="99"/>
    <w:rsid w:val="000C1BC4"/>
    <w:rPr>
      <w:sz w:val="20"/>
      <w:szCs w:val="20"/>
    </w:rPr>
  </w:style>
  <w:style w:type="paragraph" w:styleId="Onderwerpvanopmerking">
    <w:name w:val="annotation subject"/>
    <w:basedOn w:val="Tekstopmerking"/>
    <w:next w:val="Tekstopmerking"/>
    <w:link w:val="OnderwerpvanopmerkingChar"/>
    <w:uiPriority w:val="99"/>
    <w:semiHidden/>
    <w:unhideWhenUsed/>
    <w:rsid w:val="000C1BC4"/>
    <w:rPr>
      <w:b/>
      <w:bCs/>
    </w:rPr>
  </w:style>
  <w:style w:type="character" w:customStyle="1" w:styleId="OnderwerpvanopmerkingChar">
    <w:name w:val="Onderwerp van opmerking Char"/>
    <w:basedOn w:val="TekstopmerkingChar"/>
    <w:link w:val="Onderwerpvanopmerking"/>
    <w:uiPriority w:val="99"/>
    <w:semiHidden/>
    <w:rsid w:val="000C1BC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eader" Target="header1.xml"/><Relationship Id="rId10" Type="http://schemas.microsoft.com/office/2016/09/relationships/commentsIds" Target="commentsIds.xml"/><Relationship Id="rId19" Type="http://schemas.microsoft.com/office/2011/relationships/people" Target="peop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BF1F44-2D1E-43F1-AB15-1CDCB04E8C3D}">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2218</Words>
  <Characters>12203</Characters>
  <Application>Microsoft Office Word</Application>
  <DocSecurity>0</DocSecurity>
  <Lines>101</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Stichting Dorpsraad Biervliet</cp:lastModifiedBy>
  <cp:revision>6</cp:revision>
  <cp:lastPrinted>2026-07-01T11:22:00Z</cp:lastPrinted>
  <dcterms:created xsi:type="dcterms:W3CDTF">2026-07-01T11:23:00Z</dcterms:created>
  <dcterms:modified xsi:type="dcterms:W3CDTF">2026-07-07T17:38:00Z</dcterms:modified>
</cp:coreProperties>
</file>